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Bối cảnh. </w:t>
            </w:r>
            <w:r>
              <w:rPr>
                <w:rFonts w:ascii="Times New Roman" w:cs="Times New Roman" w:eastAsia="Times New Roman" w:hAnsi="Times New Roman"/>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sz w:val="26"/>
                <w:szCs w:val="26"/>
              </w:rPr>
              <w:t xml:space="preserve">[3]</w:t>
            </w:r>
            <w:r>
              <w:rPr>
                <w:rFonts w:ascii="Times New Roman" w:cs="Times New Roman" w:eastAsia="Times New Roman" w:hAnsi="Times New Roman"/>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sz w:val="26"/>
                <w:szCs w:val="26"/>
              </w:rPr>
              <w:t xml:space="preserve">[4]</w:t>
            </w:r>
            <w:r>
              <w:rPr>
                <w:rFonts w:ascii="Times New Roman" w:cs="Times New Roman" w:eastAsia="Times New Roman" w:hAnsi="Times New Roman"/>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CopyPro mà sinh viên xây dựng trong đồ án chuyên ngành cho thấy rõ vấn đề này. CopyPro tạo quảng cáo cho 10 ngành bằng nhiều LLM; phần mô tả yêu cầu gồm ngành, loại bài, giọng điệu, tên sản phẩm, từ khóa, đối tượng và thông tin bổ sung nhập tự do, không có trường nào chứa thông số sản phẩm. Nếu người dùng không tự dán thông số, con số trong bài do LLM tự sinh; khi thiếu tên sản phẩm, câu lệnh còn yêu cầu LLM “tự giả định hợp lý”.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Các nghiên cứu liên quan. </w:t>
            </w:r>
            <w:r>
              <w:rPr>
                <w:rFonts w:ascii="Times New Roman" w:cs="Times New Roman" w:eastAsia="Times New Roman" w:hAnsi="Times New Roman"/>
                <w:sz w:val="26"/>
                <w:szCs w:val="26"/>
              </w:rPr>
              <w:t xml:space="preserve">FEVER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tách riêng loại tuyên bố nửa sự thật này trên dữ liệu PolitiFact. Với tiếng Việt, ViFactCheck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kiểm chứng tin tức đa lĩnh vực, ViNumFCR </w:t>
            </w:r>
            <w:r>
              <w:rPr>
                <w:rFonts w:ascii="Times New Roman" w:cs="Times New Roman" w:eastAsia="Times New Roman" w:hAnsi="Times New Roman"/>
                <w:sz w:val="26"/>
                <w:szCs w:val="26"/>
              </w:rPr>
              <w:t xml:space="preserve">[9]</w:t>
            </w:r>
            <w:r>
              <w:rPr>
                <w:rFonts w:ascii="Times New Roman" w:cs="Times New Roman" w:eastAsia="Times New Roman" w:hAnsi="Times New Roman"/>
                <w:sz w:val="26"/>
                <w:szCs w:val="26"/>
              </w:rPr>
              <w:t xml:space="preserve"> tập trung vào tuyên bố số liệu, SemViQA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NumPert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đánh giá việc tách tuyên bố phức tạp thành tuyên bố nhỏ; MiniCheck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Hạn chế của các phương pháp hiện có. </w:t>
            </w:r>
            <w:r>
              <w:rPr>
                <w:rFonts w:ascii="Times New Roman" w:cs="Times New Roman" w:eastAsia="Times New Roman" w:hAnsi="Times New Roman"/>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FEVER </w:t>
                  </w:r>
                  <w:r>
                    <w:rPr>
                      <w:rFonts w:ascii="Times New Roman" w:cs="Times New Roman" w:eastAsia="Times New Roman" w:hAnsi="Times New Roman"/>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AVeriTeC </w:t>
                  </w: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Fathom </w:t>
                  </w:r>
                  <w:r>
                    <w:rPr>
                      <w:rFonts w:ascii="Times New Roman" w:cs="Times New Roman" w:eastAsia="Times New Roman" w:hAnsi="Times New Roman"/>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Tang và cộng sự </w:t>
                  </w:r>
                  <w:r>
                    <w:rPr>
                      <w:rFonts w:ascii="Times New Roman" w:cs="Times New Roman" w:eastAsia="Times New Roman" w:hAnsi="Times New Roman"/>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ViFactCheck </w:t>
                  </w: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SemViQA </w:t>
                  </w:r>
                  <w:r>
                    <w:rPr>
                      <w:rFonts w:ascii="Times New Roman" w:cs="Times New Roman" w:eastAsia="Times New Roman" w:hAnsi="Times New Roman"/>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ViNumFCR </w:t>
                  </w: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NumPert </w:t>
                  </w:r>
                  <w:r>
                    <w:rPr>
                      <w:rFonts w:ascii="Times New Roman" w:cs="Times New Roman" w:eastAsia="Times New Roman" w:hAnsi="Times New Roman"/>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MiniCheck </w:t>
                  </w: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Jiang và cộng sự </w:t>
                  </w:r>
                  <w:r>
                    <w:rPr>
                      <w:rFonts w:ascii="Times New Roman" w:cs="Times New Roman" w:eastAsia="Times New Roman" w:hAnsi="Times New Roman"/>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VeriFin </w:t>
                  </w:r>
                  <w:r>
                    <w:rPr>
                      <w:rFonts w:ascii="Times New Roman" w:cs="Times New Roman" w:eastAsia="Times New Roman" w:hAnsi="Times New Roman"/>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Nguyen và cộng sự </w:t>
                  </w:r>
                  <w:r>
                    <w:rPr>
                      <w:rFonts w:ascii="Times New Roman" w:cs="Times New Roman" w:eastAsia="Times New Roman" w:hAnsi="Times New Roman"/>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truy hồi BM25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dùng LLM trích thông tin rồi so khớp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nhãn gây hiểu nhầm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hay kiểm tra tất định yếu tố đi kèm con số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Cụ thể hóa lớp tuyên bố gây hiểu nhầm (nhãn Cherry-picking của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tuyên bố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sz w:val="26"/>
                <w:szCs w:val="26"/>
              </w:rPr>
              <w:t xml:space="preserve">[19]</w:t>
            </w:r>
            <w:r>
              <w:rPr>
                <w:rFonts w:ascii="Times New Roman" w:cs="Times New Roman" w:eastAsia="Times New Roman" w:hAnsi="Times New Roman"/>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kiểm chứng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để LLM gán bốn nhãn bằng câu lệnh theo kiểu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 cách kiểm tra quảng cáo và văn bản do LLM tạo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CopyPro tạo ở ngành Công nghệ bằng hai LLM thuộc hai họ mô hình khác nhau (dự kiến Gemini 2.5 Flash và GPT-OSS 120B qua Groq, thay cho Llama 3.3 70B đã bị Groq ngừng phục vụ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Đại diện kiểm chứng ba nhãn phổ biến </w:t>
                  </w:r>
                  <w:r>
                    <w:rPr>
                      <w:rFonts w:ascii="Times New Roman" w:cs="Times New Roman" w:eastAsia="Times New Roman" w:hAnsi="Times New Roman"/>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Khắc phục chỉ bằng câu lệnh, theo cách đặt nhãn của AVeriTeC </w:t>
                  </w:r>
                  <w:r>
                    <w:rPr>
                      <w:rFonts w:ascii="Times New Roman" w:cs="Times New Roman" w:eastAsia="Times New Roman" w:hAnsi="Times New Roman"/>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sz w:val="21"/>
                      <w:szCs w:val="21"/>
                    </w:rPr>
                    <w:t xml:space="preserve">Mô hình ba nhãn tiếng Việt đã huấn luyện sẵn của SemViQA </w:t>
                  </w: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L. Jiang, K. Jiang, X. Chu, S. Gulati, and P. Garg, “Hallucination detection in LLM-enriched product listings,” in </w:t>
            </w:r>
            <w:r>
              <w:rPr>
                <w:rFonts w:ascii="Times New Roman" w:cs="Times New Roman" w:eastAsia="Times New Roman" w:hAnsi="Times New Roman"/>
                <w:i/>
                <w:iCs/>
                <w:sz w:val="26"/>
                <w:szCs w:val="26"/>
              </w:rPr>
              <w:t xml:space="preserve">Proceedings of the Seventh Workshop on e-Commerce and NLP (ECNLP) @ LREC-COLING 2024</w:t>
            </w:r>
            <w:r>
              <w:rPr>
                <w:rFonts w:ascii="Times New Roman" w:cs="Times New Roman" w:eastAsia="Times New Roman" w:hAnsi="Times New Roman"/>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Quốc hội nước Cộng hòa xã hội chủ nghĩa Việt Nam, </w:t>
            </w:r>
            <w:r>
              <w:rPr>
                <w:rFonts w:ascii="Times New Roman" w:cs="Times New Roman" w:eastAsia="Times New Roman" w:hAnsi="Times New Roman"/>
                <w:i/>
                <w:iCs/>
                <w:sz w:val="26"/>
                <w:szCs w:val="26"/>
              </w:rPr>
              <w:t xml:space="preserve">Luật sửa đổi, bổ sung một số điều của Luật Quảng cáo</w:t>
            </w:r>
            <w:r>
              <w:rPr>
                <w:rFonts w:ascii="Times New Roman" w:cs="Times New Roman" w:eastAsia="Times New Roman" w:hAnsi="Times New Roman"/>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sz w:val="26"/>
                <w:szCs w:val="26"/>
              </w:rPr>
              <w:t xml:space="preserve">Advances in Neural Information Processing Systems 36 (Datasets and Benchmarks Track)</w:t>
            </w:r>
            <w:r>
              <w:rPr>
                <w:rFonts w:ascii="Times New Roman" w:cs="Times New Roman" w:eastAsia="Times New Roman" w:hAnsi="Times New Roman"/>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Y. Tang, J. Wang, and A. K. H. Tung, “The missing parts: Augmenting fact verification with half truth detection,” in </w:t>
            </w:r>
            <w:r>
              <w:rPr>
                <w:rFonts w:ascii="Times New Roman" w:cs="Times New Roman" w:eastAsia="Times New Roman" w:hAnsi="Times New Roman"/>
                <w:i/>
                <w:iCs/>
                <w:sz w:val="26"/>
                <w:szCs w:val="26"/>
              </w:rPr>
              <w:t xml:space="preserve">Proceedings of the 2025 Conference on Empirical Methods in Natural Language Processing (EMNLP)</w:t>
            </w:r>
            <w:r>
              <w:rPr>
                <w:rFonts w:ascii="Times New Roman" w:cs="Times New Roman" w:eastAsia="Times New Roman" w:hAnsi="Times New Roman"/>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sz w:val="26"/>
                <w:szCs w:val="26"/>
              </w:rPr>
              <w:t xml:space="preserve">Proceedings of the AAAI Conference on Artificial Intelligence</w:t>
            </w:r>
            <w:r>
              <w:rPr>
                <w:rFonts w:ascii="Times New Roman" w:cs="Times New Roman" w:eastAsia="Times New Roman" w:hAnsi="Times New Roman"/>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sz w:val="26"/>
                <w:szCs w:val="26"/>
              </w:rPr>
              <w:t xml:space="preserve">Proceedings of the 18th International Natural Language Generation Conference (INLG)</w:t>
            </w:r>
            <w:r>
              <w:rPr>
                <w:rFonts w:ascii="Times New Roman" w:cs="Times New Roman" w:eastAsia="Times New Roman" w:hAnsi="Times New Roman"/>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[10] </w:t>
            </w:r>
            <w:r>
              <w:rPr>
                <w:rFonts w:ascii="Times New Roman" w:cs="Times New Roman" w:eastAsia="Times New Roman" w:hAnsi="Times New Roman"/>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sz w:val="26"/>
                <w:szCs w:val="26"/>
              </w:rPr>
              <w:t xml:space="preserve">Proceedings of the 64th Annual Meeting of the Association for Computational Linguistics (Volume 6: Industry Track)</w:t>
            </w:r>
            <w:r>
              <w:rPr>
                <w:rFonts w:ascii="Times New Roman" w:cs="Times New Roman" w:eastAsia="Times New Roman" w:hAnsi="Times New Roman"/>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[11] </w:t>
            </w:r>
            <w:r>
              <w:rPr>
                <w:rFonts w:ascii="Times New Roman" w:cs="Times New Roman" w:eastAsia="Times New Roman" w:hAnsi="Times New Roman"/>
                <w:sz w:val="26"/>
                <w:szCs w:val="26"/>
              </w:rPr>
              <w:t xml:space="preserve">P. R. Aarnes and V. Setty, “NumPert: Numerical perturbations to probe language models for veracity prediction,” in </w:t>
            </w:r>
            <w:r>
              <w:rPr>
                <w:rFonts w:ascii="Times New Roman" w:cs="Times New Roman" w:eastAsia="Times New Roman" w:hAnsi="Times New Roman"/>
                <w:i/>
                <w:iCs/>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[12] </w:t>
            </w:r>
            <w:r>
              <w:rPr>
                <w:rFonts w:ascii="Times New Roman" w:cs="Times New Roman" w:eastAsia="Times New Roman" w:hAnsi="Times New Roman"/>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[14] </w:t>
            </w:r>
            <w:r>
              <w:rPr>
                <w:rFonts w:ascii="Times New Roman" w:cs="Times New Roman" w:eastAsia="Times New Roman" w:hAnsi="Times New Roman"/>
                <w:sz w:val="26"/>
                <w:szCs w:val="26"/>
              </w:rPr>
              <w:t xml:space="preserve">L. Tang, P. Laban, and G. Durrett, “MiniCheck: Efficient fact-checking of LLMs on grounding documents,” in </w:t>
            </w:r>
            <w:r>
              <w:rPr>
                <w:rFonts w:ascii="Times New Roman" w:cs="Times New Roman" w:eastAsia="Times New Roman" w:hAnsi="Times New Roman"/>
                <w:i/>
                <w:iCs/>
                <w:sz w:val="26"/>
                <w:szCs w:val="26"/>
              </w:rPr>
              <w:t xml:space="preserve">Proceedings of the 2024 Conference on Empirical Methods in Natural Language Processing (EMNLP)</w:t>
            </w:r>
            <w:r>
              <w:rPr>
                <w:rFonts w:ascii="Times New Roman" w:cs="Times New Roman" w:eastAsia="Times New Roman" w:hAnsi="Times New Roman"/>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[17] </w:t>
            </w:r>
            <w:r>
              <w:rPr>
                <w:rFonts w:ascii="Times New Roman" w:cs="Times New Roman" w:eastAsia="Times New Roman" w:hAnsi="Times New Roman"/>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[18] </w:t>
            </w:r>
            <w:r>
              <w:rPr>
                <w:rFonts w:ascii="Times New Roman" w:cs="Times New Roman" w:eastAsia="Times New Roman" w:hAnsi="Times New Roman"/>
                <w:sz w:val="26"/>
                <w:szCs w:val="26"/>
              </w:rPr>
              <w:t xml:space="preserve">S. Robertson and H. Zaragoza, “The probabilistic relevance framework: BM25 and beyond,” </w:t>
            </w:r>
            <w:r>
              <w:rPr>
                <w:rFonts w:ascii="Times New Roman" w:cs="Times New Roman" w:eastAsia="Times New Roman" w:hAnsi="Times New Roman"/>
                <w:i/>
                <w:iCs/>
                <w:sz w:val="26"/>
                <w:szCs w:val="26"/>
              </w:rPr>
              <w:t xml:space="preserve">Foundations and Trends in Information Retrieval</w:t>
            </w:r>
            <w:r>
              <w:rPr>
                <w:rFonts w:ascii="Times New Roman" w:cs="Times New Roman" w:eastAsia="Times New Roman" w:hAnsi="Times New Roman"/>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[19] </w:t>
            </w:r>
            <w:r>
              <w:rPr>
                <w:rFonts w:ascii="Times New Roman" w:cs="Times New Roman" w:eastAsia="Times New Roman" w:hAnsi="Times New Roman"/>
                <w:sz w:val="26"/>
                <w:szCs w:val="26"/>
              </w:rPr>
              <w:t xml:space="preserve">T. Schuster, A. Fisch, and R. Barzilay, “Get your vitamin C! Robust fact verification with contrastive evidence,” in </w:t>
            </w:r>
            <w:r>
              <w:rPr>
                <w:rFonts w:ascii="Times New Roman" w:cs="Times New Roman" w:eastAsia="Times New Roman" w:hAnsi="Times New Roman"/>
                <w:i/>
                <w:iCs/>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[20] </w:t>
            </w:r>
            <w:r>
              <w:rPr>
                <w:rFonts w:ascii="Times New Roman" w:cs="Times New Roman" w:eastAsia="Times New Roman" w:hAnsi="Times New Roman"/>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