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iCs/>
          <w:color w:val="FF0000"/>
          <w:sz w:val="26"/>
          <w:szCs w:val="26"/>
        </w:rPr>
        <w:t xml:space="preserve">Bản sửa theo nhận xét của Khoa (tháng 10/2026): chữ đỏ là phần thêm mới hoặc sửa so với đề cương đã nộp, phần bị lược bỏ không hiển thị. Trước khi nộp bản chính thức, xóa dòng này và chuyển chữ đỏ về màu đen.</w:t>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color w:val="FF0000"/>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color w:val="FF0000"/>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color w:val="FF0000"/>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color w:val="FF0000"/>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color w:val="FF0000"/>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color w:val="FF0000"/>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Bối cảnh. </w:t>
            </w:r>
            <w:r>
              <w:rPr>
                <w:rFonts w:ascii="Times New Roman" w:cs="Times New Roman" w:eastAsia="Times New Roman" w:hAnsi="Times New Roman"/>
                <w:color w:val="FF0000"/>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color w:val="FF0000"/>
                <w:sz w:val="26"/>
                <w:szCs w:val="26"/>
              </w:rPr>
              <w:t xml:space="preserve">[3]</w:t>
            </w:r>
            <w:r>
              <w:rPr>
                <w:rFonts w:ascii="Times New Roman" w:cs="Times New Roman" w:eastAsia="Times New Roman" w:hAnsi="Times New Roman"/>
                <w:color w:val="FF0000"/>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color w:val="FF0000"/>
                <w:sz w:val="26"/>
                <w:szCs w:val="26"/>
              </w:rPr>
              <w:t xml:space="preserve">[4]</w:t>
            </w:r>
            <w:r>
              <w:rPr>
                <w:rFonts w:ascii="Times New Roman" w:cs="Times New Roman" w:eastAsia="Times New Roman" w:hAnsi="Times New Roman"/>
                <w:color w:val="FF0000"/>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Website CopyPro mà sinh viên xây dựng trong đồ án chuyên ngành cho thấy rõ vấn đề này. CopyPro tạo quảng cáo cho 10 ngành bằng nhiều LLM; phần mô tả yêu cầu gồm ngành, loại bài, giọng điệu, tên sản phẩm, từ khóa, đối tượng và thông tin bổ sung nhập tự do, không có trường nào chứa thông số sản phẩm. Nếu người dùng không tự dán thông số, con số trong bài do LLM tự sinh; khi thiếu tên sản phẩm, câu lệnh còn yêu cầu LLM “tự giả định hợp lý”.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Các nghiên cứu liên quan. </w:t>
            </w:r>
            <w:r>
              <w:rPr>
                <w:rFonts w:ascii="Times New Roman" w:cs="Times New Roman" w:eastAsia="Times New Roman" w:hAnsi="Times New Roman"/>
                <w:color w:val="FF0000"/>
                <w:sz w:val="26"/>
                <w:szCs w:val="26"/>
              </w:rPr>
              <w:t xml:space="preserve">FEVER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tách riêng loại tuyên bố nửa sự thật này trên dữ liệu PolitiFact. Với tiếng Việt, ViFactCheck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kiểm chứng tin tức đa lĩnh vực, ViNumFCR </w:t>
            </w:r>
            <w:r>
              <w:rPr>
                <w:rFonts w:ascii="Times New Roman" w:cs="Times New Roman" w:eastAsia="Times New Roman" w:hAnsi="Times New Roman"/>
                <w:color w:val="FF0000"/>
                <w:sz w:val="26"/>
                <w:szCs w:val="26"/>
              </w:rPr>
              <w:t xml:space="preserve">[9]</w:t>
            </w:r>
            <w:r>
              <w:rPr>
                <w:rFonts w:ascii="Times New Roman" w:cs="Times New Roman" w:eastAsia="Times New Roman" w:hAnsi="Times New Roman"/>
                <w:color w:val="FF0000"/>
                <w:sz w:val="26"/>
                <w:szCs w:val="26"/>
              </w:rPr>
              <w:t xml:space="preserve"> tập trung vào tuyên bố số liệu, SemViQA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NumPert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đánh giá việc tách tuyên bố phức tạp thành tuyên bố nhỏ; MiniCheck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Hạn chế của các phương pháp hiện có. </w:t>
            </w:r>
            <w:r>
              <w:rPr>
                <w:rFonts w:ascii="Times New Roman" w:cs="Times New Roman" w:eastAsia="Times New Roman" w:hAnsi="Times New Roman"/>
                <w:color w:val="FF0000"/>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FEVER </w:t>
                  </w:r>
                  <w:r>
                    <w:rPr>
                      <w:rFonts w:ascii="Times New Roman" w:cs="Times New Roman" w:eastAsia="Times New Roman" w:hAnsi="Times New Roman"/>
                      <w:color w:val="FF0000"/>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AVeriTeC </w:t>
                  </w:r>
                  <w:r>
                    <w:rPr>
                      <w:rFonts w:ascii="Times New Roman" w:cs="Times New Roman" w:eastAsia="Times New Roman" w:hAnsi="Times New Roman"/>
                      <w:color w:val="FF0000"/>
                      <w:sz w:val="21"/>
                      <w:szCs w:val="21"/>
                    </w:rPr>
                    <w:t xml:space="preserve">[6]</w:t>
                  </w:r>
                  <w:r>
                    <w:rPr>
                      <w:rFonts w:ascii="Times New Roman" w:cs="Times New Roman" w:eastAsia="Times New Roman" w:hAnsi="Times New Roman"/>
                      <w:color w:val="FF0000"/>
                      <w:sz w:val="21"/>
                      <w:szCs w:val="21"/>
                    </w:rPr>
                    <w:t xml:space="preserve">, Fathom </w:t>
                  </w:r>
                  <w:r>
                    <w:rPr>
                      <w:rFonts w:ascii="Times New Roman" w:cs="Times New Roman" w:eastAsia="Times New Roman" w:hAnsi="Times New Roman"/>
                      <w:color w:val="FF0000"/>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Tang và cộng sự </w:t>
                  </w:r>
                  <w:r>
                    <w:rPr>
                      <w:rFonts w:ascii="Times New Roman" w:cs="Times New Roman" w:eastAsia="Times New Roman" w:hAnsi="Times New Roman"/>
                      <w:color w:val="FF0000"/>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ViFactCheck </w:t>
                  </w:r>
                  <w:r>
                    <w:rPr>
                      <w:rFonts w:ascii="Times New Roman" w:cs="Times New Roman" w:eastAsia="Times New Roman" w:hAnsi="Times New Roman"/>
                      <w:color w:val="FF0000"/>
                      <w:sz w:val="21"/>
                      <w:szCs w:val="21"/>
                    </w:rPr>
                    <w:t xml:space="preserve">[8]</w:t>
                  </w:r>
                  <w:r>
                    <w:rPr>
                      <w:rFonts w:ascii="Times New Roman" w:cs="Times New Roman" w:eastAsia="Times New Roman" w:hAnsi="Times New Roman"/>
                      <w:color w:val="FF0000"/>
                      <w:sz w:val="21"/>
                      <w:szCs w:val="21"/>
                    </w:rPr>
                    <w:t xml:space="preserve">, SemViQA </w:t>
                  </w:r>
                  <w:r>
                    <w:rPr>
                      <w:rFonts w:ascii="Times New Roman" w:cs="Times New Roman" w:eastAsia="Times New Roman" w:hAnsi="Times New Roman"/>
                      <w:color w:val="FF0000"/>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ViNumFCR </w:t>
                  </w:r>
                  <w:r>
                    <w:rPr>
                      <w:rFonts w:ascii="Times New Roman" w:cs="Times New Roman" w:eastAsia="Times New Roman" w:hAnsi="Times New Roman"/>
                      <w:color w:val="FF0000"/>
                      <w:sz w:val="21"/>
                      <w:szCs w:val="21"/>
                    </w:rPr>
                    <w:t xml:space="preserve">[9]</w:t>
                  </w:r>
                  <w:r>
                    <w:rPr>
                      <w:rFonts w:ascii="Times New Roman" w:cs="Times New Roman" w:eastAsia="Times New Roman" w:hAnsi="Times New Roman"/>
                      <w:color w:val="FF0000"/>
                      <w:sz w:val="21"/>
                      <w:szCs w:val="21"/>
                    </w:rPr>
                    <w:t xml:space="preserve">, NumPert </w:t>
                  </w:r>
                  <w:r>
                    <w:rPr>
                      <w:rFonts w:ascii="Times New Roman" w:cs="Times New Roman" w:eastAsia="Times New Roman" w:hAnsi="Times New Roman"/>
                      <w:color w:val="FF0000"/>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MiniCheck </w:t>
                  </w:r>
                  <w:r>
                    <w:rPr>
                      <w:rFonts w:ascii="Times New Roman" w:cs="Times New Roman" w:eastAsia="Times New Roman" w:hAnsi="Times New Roman"/>
                      <w:color w:val="FF0000"/>
                      <w:sz w:val="21"/>
                      <w:szCs w:val="21"/>
                    </w:rPr>
                    <w:t xml:space="preserve">[14]</w:t>
                  </w:r>
                  <w:r>
                    <w:rPr>
                      <w:rFonts w:ascii="Times New Roman" w:cs="Times New Roman" w:eastAsia="Times New Roman" w:hAnsi="Times New Roman"/>
                      <w:color w:val="FF0000"/>
                      <w:sz w:val="21"/>
                      <w:szCs w:val="21"/>
                    </w:rPr>
                    <w:t xml:space="preserve">, Jiang và cộng sự </w:t>
                  </w:r>
                  <w:r>
                    <w:rPr>
                      <w:rFonts w:ascii="Times New Roman" w:cs="Times New Roman" w:eastAsia="Times New Roman" w:hAnsi="Times New Roman"/>
                      <w:color w:val="FF0000"/>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VeriFin </w:t>
                  </w:r>
                  <w:r>
                    <w:rPr>
                      <w:rFonts w:ascii="Times New Roman" w:cs="Times New Roman" w:eastAsia="Times New Roman" w:hAnsi="Times New Roman"/>
                      <w:color w:val="FF0000"/>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Nguyen và cộng sự </w:t>
                  </w:r>
                  <w:r>
                    <w:rPr>
                      <w:rFonts w:ascii="Times New Roman" w:cs="Times New Roman" w:eastAsia="Times New Roman" w:hAnsi="Times New Roman"/>
                      <w:color w:val="FF0000"/>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color w:val="FF0000"/>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truy hồi BM25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color w:val="FF0000"/>
                <w:sz w:val="26"/>
                <w:szCs w:val="26"/>
              </w:rPr>
              <w:t xml:space="preserve">, dùng LLM trích thông tin rồi so khớp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nhãn gây hiểu nhầm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hay kiểm tra tất định yếu tố đi kèm con số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Cụ thể hóa lớp tuyên bố gây hiểu nhầm (nhãn Cherry-picking của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tuyên bố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color w:val="FF0000"/>
                <w:sz w:val="26"/>
                <w:szCs w:val="26"/>
              </w:rPr>
              <w:t xml:space="preserve">[19]</w:t>
            </w:r>
            <w:r>
              <w:rPr>
                <w:rFonts w:ascii="Times New Roman" w:cs="Times New Roman" w:eastAsia="Times New Roman" w:hAnsi="Times New Roman"/>
                <w:color w:val="FF0000"/>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kiểm chứng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để LLM gán bốn nhãn bằng câu lệnh theo kiểu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 cách kiểm tra quảng cáo và văn bản do LLM tạo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color w:val="FF0000"/>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color w:val="FF0000"/>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color w:val="FF0000"/>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color w:val="FF0000"/>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color w:val="FF0000"/>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color w:val="FF0000"/>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color w:val="FF0000"/>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color w:val="FF0000"/>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CopyPro tạo ở ngành Công nghệ bằng hai LLM thuộc hai họ mô hình khác nhau (dự kiến Gemini 2.5 Flash và GPT-OSS 120B qua Groq, thay cho Llama 3.3 70B đã bị Groq ngừng phục vụ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color w:val="FF0000"/>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color w:val="FF0000"/>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color w:val="FF0000"/>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color w:val="FF0000"/>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Đại diện kiểm chứng ba nhãn phổ biến </w:t>
                  </w:r>
                  <w:r>
                    <w:rPr>
                      <w:rFonts w:ascii="Times New Roman" w:cs="Times New Roman" w:eastAsia="Times New Roman" w:hAnsi="Times New Roman"/>
                      <w:color w:val="FF0000"/>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color w:val="FF0000"/>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Khắc phục chỉ bằng câu lệnh, theo cách đặt nhãn của AVeriTeC </w:t>
                  </w:r>
                  <w:r>
                    <w:rPr>
                      <w:rFonts w:ascii="Times New Roman" w:cs="Times New Roman" w:eastAsia="Times New Roman" w:hAnsi="Times New Roman"/>
                      <w:color w:val="FF0000"/>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Mô hình ba nhãn tiếng Việt đã huấn luyện sẵn của SemViQA </w:t>
                  </w:r>
                  <w:r>
                    <w:rPr>
                      <w:rFonts w:ascii="Times New Roman" w:cs="Times New Roman" w:eastAsia="Times New Roman" w:hAnsi="Times New Roman"/>
                      <w:color w:val="FF0000"/>
                      <w:sz w:val="21"/>
                      <w:szCs w:val="21"/>
                    </w:rPr>
                    <w:t xml:space="preserve">[10]</w:t>
                  </w:r>
                  <w:r>
                    <w:rPr>
                      <w:rFonts w:ascii="Times New Roman" w:cs="Times New Roman" w:eastAsia="Times New Roman" w:hAnsi="Times New Roman"/>
                      <w:color w:val="FF0000"/>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color w:val="FF0000"/>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color w:val="FF0000"/>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color w:val="FF0000"/>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color w:val="FF0000"/>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color w:val="FF0000"/>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color w:val="FF0000"/>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color w:val="FF0000"/>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color w:val="FF0000"/>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color w:val="FF0000"/>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color w:val="FF0000"/>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color w:val="FF0000"/>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color w:val="FF0000"/>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color w:val="FF0000"/>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color w:val="FF0000"/>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color w:val="FF0000"/>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color w:val="FF0000"/>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color w:val="FF0000"/>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color w:val="FF0000"/>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color w:val="FF0000"/>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color w:val="FF0000"/>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color w:val="FF0000"/>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color w:val="FF0000"/>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color w:val="FF0000"/>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color w:val="FF0000"/>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 </w:t>
            </w:r>
            <w:r>
              <w:rPr>
                <w:rFonts w:ascii="Times New Roman" w:cs="Times New Roman" w:eastAsia="Times New Roman" w:hAnsi="Times New Roman"/>
                <w:color w:val="FF0000"/>
                <w:sz w:val="26"/>
                <w:szCs w:val="26"/>
              </w:rPr>
              <w:t xml:space="preserve">L. Jiang, K. Jiang, X. Chu, S. Gulati, and P. Garg, “Hallucination detection in LLM-enriched product listings,” in </w:t>
            </w:r>
            <w:r>
              <w:rPr>
                <w:rFonts w:ascii="Times New Roman" w:cs="Times New Roman" w:eastAsia="Times New Roman" w:hAnsi="Times New Roman"/>
                <w:i/>
                <w:iCs/>
                <w:color w:val="FF0000"/>
                <w:sz w:val="26"/>
                <w:szCs w:val="26"/>
              </w:rPr>
              <w:t xml:space="preserve">Proceedings of the Seventh Workshop on e-Commerce and NLP (ECNLP) @ LREC-COLING 2024</w:t>
            </w:r>
            <w:r>
              <w:rPr>
                <w:rFonts w:ascii="Times New Roman" w:cs="Times New Roman" w:eastAsia="Times New Roman" w:hAnsi="Times New Roman"/>
                <w:color w:val="FF0000"/>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 </w:t>
            </w:r>
            <w:r>
              <w:rPr>
                <w:rFonts w:ascii="Times New Roman" w:cs="Times New Roman" w:eastAsia="Times New Roman" w:hAnsi="Times New Roman"/>
                <w:color w:val="FF0000"/>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[3] </w:t>
            </w:r>
            <w:r>
              <w:rPr>
                <w:rFonts w:ascii="Times New Roman" w:cs="Times New Roman" w:eastAsia="Times New Roman" w:hAnsi="Times New Roman"/>
                <w:color w:val="FF0000"/>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[4] </w:t>
            </w:r>
            <w:r>
              <w:rPr>
                <w:rFonts w:ascii="Times New Roman" w:cs="Times New Roman" w:eastAsia="Times New Roman" w:hAnsi="Times New Roman"/>
                <w:color w:val="FF0000"/>
                <w:sz w:val="26"/>
                <w:szCs w:val="26"/>
              </w:rPr>
              <w:t xml:space="preserve">Quốc hội nước Cộng hòa xã hội chủ nghĩa Việt Nam, </w:t>
            </w:r>
            <w:r>
              <w:rPr>
                <w:rFonts w:ascii="Times New Roman" w:cs="Times New Roman" w:eastAsia="Times New Roman" w:hAnsi="Times New Roman"/>
                <w:i/>
                <w:iCs/>
                <w:color w:val="FF0000"/>
                <w:sz w:val="26"/>
                <w:szCs w:val="26"/>
              </w:rPr>
              <w:t xml:space="preserve">Luật sửa đổi, bổ sung một số điều của Luật Quảng cáo</w:t>
            </w:r>
            <w:r>
              <w:rPr>
                <w:rFonts w:ascii="Times New Roman" w:cs="Times New Roman" w:eastAsia="Times New Roman" w:hAnsi="Times New Roman"/>
                <w:color w:val="FF0000"/>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[5] </w:t>
            </w:r>
            <w:r>
              <w:rPr>
                <w:rFonts w:ascii="Times New Roman" w:cs="Times New Roman" w:eastAsia="Times New Roman" w:hAnsi="Times New Roman"/>
                <w:color w:val="FF0000"/>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color w:val="FF0000"/>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[6] </w:t>
            </w:r>
            <w:r>
              <w:rPr>
                <w:rFonts w:ascii="Times New Roman" w:cs="Times New Roman" w:eastAsia="Times New Roman" w:hAnsi="Times New Roman"/>
                <w:color w:val="FF0000"/>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color w:val="FF0000"/>
                <w:sz w:val="26"/>
                <w:szCs w:val="26"/>
              </w:rPr>
              <w:t xml:space="preserve">Advances in Neural Information Processing Systems 36 (Datasets and Benchmarks Track)</w:t>
            </w:r>
            <w:r>
              <w:rPr>
                <w:rFonts w:ascii="Times New Roman" w:cs="Times New Roman" w:eastAsia="Times New Roman" w:hAnsi="Times New Roman"/>
                <w:color w:val="FF0000"/>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[7] </w:t>
            </w:r>
            <w:r>
              <w:rPr>
                <w:rFonts w:ascii="Times New Roman" w:cs="Times New Roman" w:eastAsia="Times New Roman" w:hAnsi="Times New Roman"/>
                <w:color w:val="FF0000"/>
                <w:sz w:val="26"/>
                <w:szCs w:val="26"/>
              </w:rPr>
              <w:t xml:space="preserve">Y. Tang, J. Wang, and A. K. H. Tung, “The missing parts: Augmenting fact verification with half truth detection,” in </w:t>
            </w:r>
            <w:r>
              <w:rPr>
                <w:rFonts w:ascii="Times New Roman" w:cs="Times New Roman" w:eastAsia="Times New Roman" w:hAnsi="Times New Roman"/>
                <w:i/>
                <w:iCs/>
                <w:color w:val="FF0000"/>
                <w:sz w:val="26"/>
                <w:szCs w:val="26"/>
              </w:rPr>
              <w:t xml:space="preserve">Proceedings of the 2025 Conference on Empirical Methods in Natural Language Processing (EMNLP)</w:t>
            </w:r>
            <w:r>
              <w:rPr>
                <w:rFonts w:ascii="Times New Roman" w:cs="Times New Roman" w:eastAsia="Times New Roman" w:hAnsi="Times New Roman"/>
                <w:color w:val="FF0000"/>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[8] </w:t>
            </w:r>
            <w:r>
              <w:rPr>
                <w:rFonts w:ascii="Times New Roman" w:cs="Times New Roman" w:eastAsia="Times New Roman" w:hAnsi="Times New Roman"/>
                <w:color w:val="FF0000"/>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color w:val="FF0000"/>
                <w:sz w:val="26"/>
                <w:szCs w:val="26"/>
              </w:rPr>
              <w:t xml:space="preserve">Proceedings of the AAAI Conference on Artificial Intelligence</w:t>
            </w:r>
            <w:r>
              <w:rPr>
                <w:rFonts w:ascii="Times New Roman" w:cs="Times New Roman" w:eastAsia="Times New Roman" w:hAnsi="Times New Roman"/>
                <w:color w:val="FF0000"/>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[9] </w:t>
            </w:r>
            <w:r>
              <w:rPr>
                <w:rFonts w:ascii="Times New Roman" w:cs="Times New Roman" w:eastAsia="Times New Roman" w:hAnsi="Times New Roman"/>
                <w:color w:val="FF0000"/>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color w:val="FF0000"/>
                <w:sz w:val="26"/>
                <w:szCs w:val="26"/>
              </w:rPr>
              <w:t xml:space="preserve">Proceedings of the 18th International Natural Language Generation Conference (INLG)</w:t>
            </w:r>
            <w:r>
              <w:rPr>
                <w:rFonts w:ascii="Times New Roman" w:cs="Times New Roman" w:eastAsia="Times New Roman" w:hAnsi="Times New Roman"/>
                <w:color w:val="FF0000"/>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[10] </w:t>
            </w:r>
            <w:r>
              <w:rPr>
                <w:rFonts w:ascii="Times New Roman" w:cs="Times New Roman" w:eastAsia="Times New Roman" w:hAnsi="Times New Roman"/>
                <w:color w:val="FF0000"/>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color w:val="FF0000"/>
                <w:sz w:val="26"/>
                <w:szCs w:val="26"/>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[11] </w:t>
            </w:r>
            <w:r>
              <w:rPr>
                <w:rFonts w:ascii="Times New Roman" w:cs="Times New Roman" w:eastAsia="Times New Roman" w:hAnsi="Times New Roman"/>
                <w:color w:val="FF0000"/>
                <w:sz w:val="26"/>
                <w:szCs w:val="26"/>
              </w:rPr>
              <w:t xml:space="preserve">P. R. Aarnes and V. Setty, “NumPert: Numerical perturbations to probe language models for veracity prediction,” in </w:t>
            </w:r>
            <w:r>
              <w:rPr>
                <w:rFonts w:ascii="Times New Roman" w:cs="Times New Roman" w:eastAsia="Times New Roman" w:hAnsi="Times New Roman"/>
                <w:i/>
                <w:iCs/>
                <w:color w:val="FF0000"/>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[12] </w:t>
            </w:r>
            <w:r>
              <w:rPr>
                <w:rFonts w:ascii="Times New Roman" w:cs="Times New Roman" w:eastAsia="Times New Roman" w:hAnsi="Times New Roman"/>
                <w:color w:val="FF0000"/>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[14] </w:t>
            </w:r>
            <w:r>
              <w:rPr>
                <w:rFonts w:ascii="Times New Roman" w:cs="Times New Roman" w:eastAsia="Times New Roman" w:hAnsi="Times New Roman"/>
                <w:color w:val="FF0000"/>
                <w:sz w:val="26"/>
                <w:szCs w:val="26"/>
              </w:rPr>
              <w:t xml:space="preserve">L. Tang, P. Laban, and G. Durrett, “MiniCheck: Efficient fact-checking of LLMs on grounding documents,” in </w:t>
            </w:r>
            <w:r>
              <w:rPr>
                <w:rFonts w:ascii="Times New Roman" w:cs="Times New Roman" w:eastAsia="Times New Roman" w:hAnsi="Times New Roman"/>
                <w:i/>
                <w:iCs/>
                <w:color w:val="FF0000"/>
                <w:sz w:val="26"/>
                <w:szCs w:val="26"/>
              </w:rPr>
              <w:t xml:space="preserve">Proceedings of the 2024 Conference on Empirical Methods in Natural Language Processing (EMNLP)</w:t>
            </w:r>
            <w:r>
              <w:rPr>
                <w:rFonts w:ascii="Times New Roman" w:cs="Times New Roman" w:eastAsia="Times New Roman" w:hAnsi="Times New Roman"/>
                <w:color w:val="FF0000"/>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[17] </w:t>
            </w:r>
            <w:r>
              <w:rPr>
                <w:rFonts w:ascii="Times New Roman" w:cs="Times New Roman" w:eastAsia="Times New Roman" w:hAnsi="Times New Roman"/>
                <w:color w:val="FF0000"/>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[18] </w:t>
            </w:r>
            <w:r>
              <w:rPr>
                <w:rFonts w:ascii="Times New Roman" w:cs="Times New Roman" w:eastAsia="Times New Roman" w:hAnsi="Times New Roman"/>
                <w:color w:val="FF0000"/>
                <w:sz w:val="26"/>
                <w:szCs w:val="26"/>
              </w:rPr>
              <w:t xml:space="preserve">S. Robertson and H. Zaragoza, “The probabilistic relevance framework: BM25 and beyond,” </w:t>
            </w:r>
            <w:r>
              <w:rPr>
                <w:rFonts w:ascii="Times New Roman" w:cs="Times New Roman" w:eastAsia="Times New Roman" w:hAnsi="Times New Roman"/>
                <w:i/>
                <w:iCs/>
                <w:color w:val="FF0000"/>
                <w:sz w:val="26"/>
                <w:szCs w:val="26"/>
              </w:rPr>
              <w:t xml:space="preserve">Foundations and Trends in Information Retrieval</w:t>
            </w:r>
            <w:r>
              <w:rPr>
                <w:rFonts w:ascii="Times New Roman" w:cs="Times New Roman" w:eastAsia="Times New Roman" w:hAnsi="Times New Roman"/>
                <w:color w:val="FF0000"/>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[19] </w:t>
            </w:r>
            <w:r>
              <w:rPr>
                <w:rFonts w:ascii="Times New Roman" w:cs="Times New Roman" w:eastAsia="Times New Roman" w:hAnsi="Times New Roman"/>
                <w:color w:val="FF0000"/>
                <w:sz w:val="26"/>
                <w:szCs w:val="26"/>
              </w:rPr>
              <w:t xml:space="preserve">T. Schuster, A. Fisch, and R. Barzilay, “Get your vitamin C! Robust fact verification with contrastive evidence,” in </w:t>
            </w:r>
            <w:r>
              <w:rPr>
                <w:rFonts w:ascii="Times New Roman" w:cs="Times New Roman" w:eastAsia="Times New Roman" w:hAnsi="Times New Roman"/>
                <w:i/>
                <w:iCs/>
                <w:color w:val="FF0000"/>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[20] </w:t>
            </w:r>
            <w:r>
              <w:rPr>
                <w:rFonts w:ascii="Times New Roman" w:cs="Times New Roman" w:eastAsia="Times New Roman" w:hAnsi="Times New Roman"/>
                <w:color w:val="FF0000"/>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color w:val="FF0000"/>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color w:val="FF0000"/>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