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iCs/>
          <w:color w:val="FF0000"/>
          <w:sz w:val="26"/>
          <w:szCs w:val="26"/>
        </w:rPr>
        <w:t xml:space="preserve">Bản sửa theo nhận xét của Khoa (tháng 10/2026): chữ đỏ là phần thêm mới hoặc sửa so với đề cương đã nộp, phần bị lược bỏ không hiển thị. Trước khi nộp bản chính thức, xóa dòng này và chuyển chữ đỏ về màu đen.</w:t>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color w:val="FF0000"/>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color w:val="FF0000"/>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color w:val="FF0000"/>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color w:val="FF0000"/>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color w:val="FF0000"/>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color w:val="FF0000"/>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Bối cảnh. </w:t>
            </w:r>
            <w:r>
              <w:rPr>
                <w:rFonts w:ascii="Times New Roman" w:cs="Times New Roman" w:eastAsia="Times New Roman" w:hAnsi="Times New Roman"/>
                <w:color w:val="FF0000"/>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color w:val="FF0000"/>
                <w:sz w:val="26"/>
                <w:szCs w:val="26"/>
              </w:rPr>
              <w:t xml:space="preserve">[3]</w:t>
            </w:r>
            <w:r>
              <w:rPr>
                <w:rFonts w:ascii="Times New Roman" w:cs="Times New Roman" w:eastAsia="Times New Roman" w:hAnsi="Times New Roman"/>
                <w:color w:val="FF0000"/>
                <w:sz w:val="26"/>
                <w:szCs w:val="26"/>
              </w:rPr>
              <w:t xml:space="preserve">. Tại Việt Nam, Luật Quảng cáo sửa đổi năm 2025 yêu cầu người có ảnh hưởng khi chuyển tải quảng cáo phải kiểm tra tài liệu liên quan đến sản phẩm (Điều 15a, khoản 3) </w:t>
            </w:r>
            <w:r>
              <w:rPr>
                <w:rFonts w:ascii="Times New Roman" w:cs="Times New Roman" w:eastAsia="Times New Roman" w:hAnsi="Times New Roman"/>
                <w:color w:val="FF0000"/>
                <w:sz w:val="26"/>
                <w:szCs w:val="26"/>
              </w:rPr>
              <w:t xml:space="preserve">[4]</w:t>
            </w:r>
            <w:r>
              <w:rPr>
                <w:rFonts w:ascii="Times New Roman" w:cs="Times New Roman" w:eastAsia="Times New Roman" w:hAnsi="Times New Roman"/>
                <w:color w:val="FF0000"/>
                <w:sz w:val="26"/>
                <w:szCs w:val="26"/>
              </w:rPr>
              <w:t xml:space="preserve">, cho thấy việc đối chiếu quảng cáo với tài liệu sản phẩm đang được coi trọng. Quảng cáo do LLM tạo vì thế cũng cần được kiểm chứng với tài liệu chính hãng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Website CopyPro mà sinh viên xây dựng trong đồ án chuyên ngành cho thấy rõ vấn đề này. CopyPro tạo quảng cáo cho 10 ngành mặc định bằng nhiều LLM; phần mô tả yêu cầu gồm ngành, loại bài, giọng điệu, tên sản phẩm, từ khóa, đối tượng và thông tin bổ sung nhập tự do, không có trường nào chứa thông số sản phẩm. Vì vậy, nếu người dùng không tự dán thông số vào ô thông tin bổ sung thì con số trong bài do LLM tự sinh; khi thiếu tên sản phẩm, câu lệnh còn yêu cầu LLM “tự giả định hợp lý”, và một số mẫu bài chỉ dặn LLM không tự bịa số liệu. Sau khi tạo,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Các nghiên cứu liên quan. </w:t>
            </w:r>
            <w:r>
              <w:rPr>
                <w:rFonts w:ascii="Times New Roman" w:cs="Times New Roman" w:eastAsia="Times New Roman" w:hAnsi="Times New Roman"/>
                <w:color w:val="FF0000"/>
                <w:sz w:val="26"/>
                <w:szCs w:val="26"/>
              </w:rPr>
              <w:t xml:space="preserve">Kiểm chứng thông tin tự động thường gồm bước truy hồi bằng chứng và bước dự đoán nhãn cho tuyên bố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dùng ba nhãn Supported, Refuted và Not Enough Info;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Với tiếng Việt, ViFactCheck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(tin tức đa lĩnh vực), ViWikiFC </w:t>
            </w:r>
            <w:r>
              <w:rPr>
                <w:rFonts w:ascii="Times New Roman" w:cs="Times New Roman" w:eastAsia="Times New Roman" w:hAnsi="Times New Roman"/>
                <w:color w:val="FF0000"/>
                <w:sz w:val="26"/>
                <w:szCs w:val="26"/>
              </w:rPr>
              <w:t xml:space="preserve">[9]</w:t>
            </w:r>
            <w:r>
              <w:rPr>
                <w:rFonts w:ascii="Times New Roman" w:cs="Times New Roman" w:eastAsia="Times New Roman" w:hAnsi="Times New Roman"/>
                <w:color w:val="FF0000"/>
                <w:sz w:val="26"/>
                <w:szCs w:val="26"/>
              </w:rPr>
              <w:t xml:space="preserve"> (Wikipedia) và ViNumFCR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(tuyên bố số liệu trên tin tức mạng xã hội) xây dựng dữ liệu kiểm chứng, còn SemViQA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kết hợp truy hồi bằng chứng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Với tuyên bố chứa số liệu, Chungkham và cộng sự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huấn luyện một mô hình kiểm định để chọn đường suy luận tốt nhất trong nhiều đường do LLM sinh, còn NumPert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cho thấy độ chính xác của các mô hình ngôn ngữ, kể cả mô hình thương mại hàng đầu, có thể giảm đến 62% khi con số trong tuyên bố bị thay đổi có kiểm soát. FactLens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đánh giá việc tách tuyên bố phức tạp thành các tuyên bố nhỏ để kiểm chứng. Với văn bản do LLM tạo, MiniCheck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kiểm tra các tuyên bố trong đầu ra có được tài liệu nền hỗ trợ hay không, ViHallu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cung cấp dữ liệu phát hiện ảo giác tiếng Việt. Gần nhất với đề tài, Nguyen và cộng sự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dùng LLM trích giấy phép, địa chỉ và dịch vụ trong bài quảng cáo dịch vụ làm đẹp và thẩm mỹ rồi so khớp với dữ liệu cấp phép của cơ quan y tế, còn Jiang và cộng sự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phát hiện ảo giác trong thông tin sản phẩm do LLM bổ sung trên sàn thương mại điện tử. Các nghiên cứu về giải thích độ bất định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color w:val="FF0000"/>
                <w:sz w:val="26"/>
                <w:szCs w:val="26"/>
              </w:rPr>
              <w:t xml:space="preserve">, xử lý bằng chứng xung đột </w:t>
            </w:r>
            <w:r>
              <w:rPr>
                <w:rFonts w:ascii="Times New Roman" w:cs="Times New Roman" w:eastAsia="Times New Roman" w:hAnsi="Times New Roman"/>
                <w:color w:val="FF0000"/>
                <w:sz w:val="26"/>
                <w:szCs w:val="26"/>
              </w:rPr>
              <w:t xml:space="preserve">[19]</w:t>
            </w:r>
            <w:r>
              <w:rPr>
                <w:rFonts w:ascii="Times New Roman" w:cs="Times New Roman" w:eastAsia="Times New Roman" w:hAnsi="Times New Roman"/>
                <w:color w:val="FF0000"/>
                <w:sz w:val="26"/>
                <w:szCs w:val="26"/>
              </w:rPr>
              <w:t xml:space="preserve"> và truy hồi bằng chứng nhanh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cung cấp kỹ thuật cho từng bước của quy trình kiểm chứng.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Hạn chế của các phương pháp hiện có. </w:t>
            </w:r>
            <w:r>
              <w:rPr>
                <w:rFonts w:ascii="Times New Roman" w:cs="Times New Roman" w:eastAsia="Times New Roman" w:hAnsi="Times New Roman"/>
                <w:color w:val="FF0000"/>
                <w:sz w:val="26"/>
                <w:szCs w:val="26"/>
              </w:rPr>
              <w:t xml:space="preserve">Bảng 1 tóm tắt các nghiên cứu trên. Các phương pháp này chủ yếu xét mức khớp nội dung giữa tuyên bố và bằng chứng, chưa biểu diễn tường minh điều kiện ràng buộc của thông số kỹ thuật như chế độ đo, bộ phận hoặc phụ kiện đi kèm, phiên bản máy hay kiểu giá trị “lên đến”. Với tập ba nhãn như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tuyên bố đúng con số nhưng thiếu điều kiện không có nhãn riêng nên có nguy cơ bị chấp nhận là Supported. Với tập nhãn có lớp gây hiểu nhầm, lớp này vẫn là điểm yếu: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đạt F1 bằng 0 ở nhãn Conflicting/Cherry-picking trên tập phát triển của AVeriTeC. Hai hướng gần với đề tài nhất kiểm tra thông tin trong bài quảng cáo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và thông tin sản phẩm do LLM bổ sung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nhưng chưa đưa điều kiện ràng buộc vào phép so khớp. Trong các tài liệu đã khảo sát, chưa thấy nghiên cứu kiểm chứng tuyên bố thông số có điều kiện ràng buộc trong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00"/>
              <w:gridCol w:w="2300"/>
              <w:gridCol w:w="27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Nghiên cứu</w:t>
                  </w:r>
                </w:p>
              </w:tc>
              <w:tc>
                <w:tcPr>
                  <w:tcW w:w="23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Dữ liệu và nhãn</w:t>
                  </w:r>
                </w:p>
              </w:tc>
              <w:tc>
                <w:tcPr>
                  <w:tcW w:w="23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Cách xác định nhãn</w:t>
                  </w:r>
                </w:p>
              </w:tc>
              <w:tc>
                <w:tcPr>
                  <w:tcW w:w="27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Xử lý điều kiện ràng buộc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FEVER </w:t>
                  </w:r>
                  <w:r>
                    <w:rPr>
                      <w:rFonts w:ascii="Times New Roman" w:cs="Times New Roman" w:eastAsia="Times New Roman" w:hAnsi="Times New Roman"/>
                      <w:color w:val="FF0000"/>
                      <w:sz w:val="22"/>
                      <w:szCs w:val="22"/>
                    </w:rPr>
                    <w:t xml:space="preserve">[6]</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Tuyên bố tạo từ câu Wikipedia; ba nhãn Supported, Refuted, NEI</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Truy hồi bằng chứng rồi phân loại cặp tuyên bố và bằng chứng</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Không có; tuyên bố đúng con số nhưng sai điều kiện không có nhãn riêng</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AVeriTeC </w:t>
                  </w:r>
                  <w:r>
                    <w:rPr>
                      <w:rFonts w:ascii="Times New Roman" w:cs="Times New Roman" w:eastAsia="Times New Roman" w:hAnsi="Times New Roman"/>
                      <w:color w:val="FF0000"/>
                      <w:sz w:val="22"/>
                      <w:szCs w:val="22"/>
                    </w:rPr>
                    <w:t xml:space="preserve">[7]</w:t>
                  </w:r>
                  <w:r>
                    <w:rPr>
                      <w:rFonts w:ascii="Times New Roman" w:cs="Times New Roman" w:eastAsia="Times New Roman" w:hAnsi="Times New Roman"/>
                      <w:color w:val="FF0000"/>
                      <w:sz w:val="22"/>
                      <w:szCs w:val="22"/>
                    </w:rPr>
                    <w:t xml:space="preserve">, Fathom </w:t>
                  </w:r>
                  <w:r>
                    <w:rPr>
                      <w:rFonts w:ascii="Times New Roman" w:cs="Times New Roman" w:eastAsia="Times New Roman" w:hAnsi="Times New Roman"/>
                      <w:color w:val="FF0000"/>
                      <w:sz w:val="22"/>
                      <w:szCs w:val="22"/>
                    </w:rPr>
                    <w:t xml:space="preserve">[20]</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Tuyên bố thực tế, bằng chứng trên web; thêm nhãn Conflicting/Cherry-picking</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LLM hoặc mô hình phân loại gán nhãn từ bằng chứng truy hồi</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Lớp gây hiểu nhầm không gắn với điều kiện cụ thể; Fathom đạt F1 bằng 0 ở lớp này trên tập phát triển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ViFactCheck </w:t>
                  </w:r>
                  <w:r>
                    <w:rPr>
                      <w:rFonts w:ascii="Times New Roman" w:cs="Times New Roman" w:eastAsia="Times New Roman" w:hAnsi="Times New Roman"/>
                      <w:color w:val="FF0000"/>
                      <w:sz w:val="22"/>
                      <w:szCs w:val="22"/>
                    </w:rPr>
                    <w:t xml:space="preserve">[8]</w:t>
                  </w:r>
                  <w:r>
                    <w:rPr>
                      <w:rFonts w:ascii="Times New Roman" w:cs="Times New Roman" w:eastAsia="Times New Roman" w:hAnsi="Times New Roman"/>
                      <w:color w:val="FF0000"/>
                      <w:sz w:val="22"/>
                      <w:szCs w:val="22"/>
                    </w:rPr>
                    <w:t xml:space="preserve">, ViWikiFC </w:t>
                  </w:r>
                  <w:r>
                    <w:rPr>
                      <w:rFonts w:ascii="Times New Roman" w:cs="Times New Roman" w:eastAsia="Times New Roman" w:hAnsi="Times New Roman"/>
                      <w:color w:val="FF0000"/>
                      <w:sz w:val="22"/>
                      <w:szCs w:val="22"/>
                    </w:rPr>
                    <w:t xml:space="preserve">[9]</w:t>
                  </w:r>
                  <w:r>
                    <w:rPr>
                      <w:rFonts w:ascii="Times New Roman" w:cs="Times New Roman" w:eastAsia="Times New Roman" w:hAnsi="Times New Roman"/>
                      <w:color w:val="FF0000"/>
                      <w:sz w:val="22"/>
                      <w:szCs w:val="22"/>
                    </w:rPr>
                    <w:t xml:space="preserve">, SemViQA </w:t>
                  </w:r>
                  <w:r>
                    <w:rPr>
                      <w:rFonts w:ascii="Times New Roman" w:cs="Times New Roman" w:eastAsia="Times New Roman" w:hAnsi="Times New Roman"/>
                      <w:color w:val="FF0000"/>
                      <w:sz w:val="22"/>
                      <w:szCs w:val="22"/>
                    </w:rPr>
                    <w:t xml:space="preserve">[11]</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Tin tức và Wikipedia tiếng Việt; ba nhãn</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Chọn hoặc truy hồi bằng chứng rồi phân loại nhãn</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Không có; dữ liệu không thuộc miền thông số kỹ thuật</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ViNumFCR </w:t>
                  </w:r>
                  <w:r>
                    <w:rPr>
                      <w:rFonts w:ascii="Times New Roman" w:cs="Times New Roman" w:eastAsia="Times New Roman" w:hAnsi="Times New Roman"/>
                      <w:color w:val="FF0000"/>
                      <w:sz w:val="22"/>
                      <w:szCs w:val="22"/>
                    </w:rPr>
                    <w:t xml:space="preserve">[10]</w:t>
                  </w:r>
                  <w:r>
                    <w:rPr>
                      <w:rFonts w:ascii="Times New Roman" w:cs="Times New Roman" w:eastAsia="Times New Roman" w:hAnsi="Times New Roman"/>
                      <w:color w:val="FF0000"/>
                      <w:sz w:val="22"/>
                      <w:szCs w:val="22"/>
                    </w:rPr>
                    <w:t xml:space="preserve">, NumPert </w:t>
                  </w:r>
                  <w:r>
                    <w:rPr>
                      <w:rFonts w:ascii="Times New Roman" w:cs="Times New Roman" w:eastAsia="Times New Roman" w:hAnsi="Times New Roman"/>
                      <w:color w:val="FF0000"/>
                      <w:sz w:val="22"/>
                      <w:szCs w:val="22"/>
                    </w:rPr>
                    <w:t xml:space="preserve">[13]</w:t>
                  </w:r>
                  <w:r>
                    <w:rPr>
                      <w:rFonts w:ascii="Times New Roman" w:cs="Times New Roman" w:eastAsia="Times New Roman" w:hAnsi="Times New Roman"/>
                      <w:color w:val="FF0000"/>
                      <w:sz w:val="22"/>
                      <w:szCs w:val="22"/>
                    </w:rPr>
                    <w:t xml:space="preserve">, Chungkham và cộng sự </w:t>
                  </w:r>
                  <w:r>
                    <w:rPr>
                      <w:rFonts w:ascii="Times New Roman" w:cs="Times New Roman" w:eastAsia="Times New Roman" w:hAnsi="Times New Roman"/>
                      <w:color w:val="FF0000"/>
                      <w:sz w:val="22"/>
                      <w:szCs w:val="22"/>
                    </w:rPr>
                    <w:t xml:space="preserve">[12]</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Tuyên bố chứa số liệu</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Mô hình ngôn ngữ suy luận trên con số</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Tập trung vào giá trị con số, không biểu diễn điều kiện đi kèm con số</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MiniCheck </w:t>
                  </w:r>
                  <w:r>
                    <w:rPr>
                      <w:rFonts w:ascii="Times New Roman" w:cs="Times New Roman" w:eastAsia="Times New Roman" w:hAnsi="Times New Roman"/>
                      <w:color w:val="FF0000"/>
                      <w:sz w:val="22"/>
                      <w:szCs w:val="22"/>
                    </w:rPr>
                    <w:t xml:space="preserve">[15]</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Câu trong văn bản do LLM tạo và tài liệu nền; được hỗ trợ hay không</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Mô hình nhỏ kiểm tra từng câu với tài liệu nền</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Không phân biệt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Jiang và cộng sự </w:t>
                  </w:r>
                  <w:r>
                    <w:rPr>
                      <w:rFonts w:ascii="Times New Roman" w:cs="Times New Roman" w:eastAsia="Times New Roman" w:hAnsi="Times New Roman"/>
                      <w:color w:val="FF0000"/>
                      <w:sz w:val="22"/>
                      <w:szCs w:val="22"/>
                    </w:rPr>
                    <w:t xml:space="preserve">[17]</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Thông tin sản phẩm do LLM bổ sung trên sàn thương mại điện tử</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Phát hiện ảo giác ở mức thuộc tính sản phẩm</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Không biểu diễn điều kiện để giá trị thuộc tính đúng</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2"/>
                      <w:szCs w:val="22"/>
                    </w:rPr>
                    <w:t xml:space="preserve">Nguyen và cộng sự </w:t>
                  </w:r>
                  <w:r>
                    <w:rPr>
                      <w:rFonts w:ascii="Times New Roman" w:cs="Times New Roman" w:eastAsia="Times New Roman" w:hAnsi="Times New Roman"/>
                      <w:color w:val="FF0000"/>
                      <w:sz w:val="22"/>
                      <w:szCs w:val="22"/>
                    </w:rPr>
                    <w:t xml:space="preserve">[16]</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Bài quảng cáo dịch vụ làm đẹp, thẩm mỹ; một nhãn vi phạm cho cả bài</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LLM trích giấy phép, địa chỉ, dịch vụ rồi so khớp với dữ liệu cấp phép theo ngưỡng độ tương đồng</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Không chỉ ra nội dung nào sai, không xét điều kiện áp dụng</w:t>
                  </w:r>
                </w:p>
              </w:tc>
            </w:tr>
            <w:tr>
              <w:trPr>
                <w:cantSplit/>
              </w:trPr>
              <w:tc>
                <w:tcPr>
                  <w:tcW w:w="1900" w:type="dxa"/>
                </w:tcPr>
                <w:p>
                  <w:pPr>
                    <w:spacing w:before="20" w:after="20" w:line="252" w:lineRule="auto"/>
                    <w:jc w:val="left"/>
                  </w:pPr>
                  <w:r>
                    <w:rPr>
                      <w:rFonts w:ascii="Times New Roman" w:cs="Times New Roman" w:eastAsia="Times New Roman" w:hAnsi="Times New Roman"/>
                      <w:b/>
                      <w:bCs/>
                      <w:color w:val="FF0000"/>
                      <w:sz w:val="22"/>
                      <w:szCs w:val="22"/>
                    </w:rPr>
                    <w:t xml:space="preserve">Đề tài này</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Quảng cáo tiếng Việt do LLM tạo về thiết bị điện tử tiêu dùng; bốn nhãn, có Lệch điều kiện</w:t>
                  </w:r>
                </w:p>
              </w:tc>
              <w:tc>
                <w:tcPr>
                  <w:tcW w:w="2300" w:type="dxa"/>
                </w:tcPr>
                <w:p>
                  <w:pPr>
                    <w:spacing w:before="20" w:after="20" w:line="252" w:lineRule="auto"/>
                    <w:jc w:val="left"/>
                  </w:pPr>
                  <w:r>
                    <w:rPr>
                      <w:rFonts w:ascii="Times New Roman" w:cs="Times New Roman" w:eastAsia="Times New Roman" w:hAnsi="Times New Roman"/>
                      <w:color w:val="FF0000"/>
                      <w:sz w:val="22"/>
                      <w:szCs w:val="22"/>
                    </w:rPr>
                    <w:t xml:space="preserve">LLM trích xuất có neo nguồn; bộ quyết định dựa trên quy tắc</w:t>
                  </w:r>
                </w:p>
              </w:tc>
              <w:tc>
                <w:tcPr>
                  <w:tcW w:w="2700" w:type="dxa"/>
                </w:tcPr>
                <w:p>
                  <w:pPr>
                    <w:spacing w:before="20" w:after="20" w:line="252" w:lineRule="auto"/>
                    <w:jc w:val="left"/>
                  </w:pPr>
                  <w:r>
                    <w:rPr>
                      <w:rFonts w:ascii="Times New Roman" w:cs="Times New Roman" w:eastAsia="Times New Roman" w:hAnsi="Times New Roman"/>
                      <w:color w:val="FF0000"/>
                      <w:sz w:val="22"/>
                      <w:szCs w:val="22"/>
                    </w:rPr>
                    <w:t xml:space="preserve">Biểu diễn tường minh và đối chiếu khi quyết định nhãn; trả nhãn cho từng tuyên bố kèm đoạn nguồn và lý do</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color w:val="FF0000"/>
                <w:sz w:val="26"/>
                <w:szCs w:val="26"/>
              </w:rPr>
              <w:t xml:space="preserve">[21]</w:t>
            </w:r>
            <w:r>
              <w:rPr>
                <w:rFonts w:ascii="Times New Roman" w:cs="Times New Roman" w:eastAsia="Times New Roman" w:hAnsi="Times New Roman"/>
                <w:color w:val="FF0000"/>
                <w:sz w:val="26"/>
                <w:szCs w:val="26"/>
              </w:rPr>
              <w:t xml:space="preserve">. Với tài liệu này, tuyên bố “nghe nhạc 6 giờ khi bật chống ồn” là Đúng; “nghe nhạc 7 giờ khi bật chống ồn” là Lệch điều kiện vì 7 giờ chỉ đạt khi tắt chống ồn; “pin 8 giờ” là Sai vì thuận lợi hơn mọi giá trị được công bố;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CH3. Neo nguồn và đối chiếu điều kiện đóng góp thế nào vào kết quả?</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không xây dựng lại một hệ thống kiểm chứng tổng quát mà tập trung khắc phục hạn chế nêu trên cho tuyên bố có điều kiện ràng buộc. Các thành phần riêng lẻ như tách tuyên bố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truy hồi bằng BM25 </w:t>
            </w:r>
            <w:r>
              <w:rPr>
                <w:rFonts w:ascii="Times New Roman" w:cs="Times New Roman" w:eastAsia="Times New Roman" w:hAnsi="Times New Roman"/>
                <w:color w:val="FF0000"/>
                <w:sz w:val="26"/>
                <w:szCs w:val="26"/>
              </w:rPr>
              <w:t xml:space="preserve">[22]</w:t>
            </w:r>
            <w:r>
              <w:rPr>
                <w:rFonts w:ascii="Times New Roman" w:cs="Times New Roman" w:eastAsia="Times New Roman" w:hAnsi="Times New Roman"/>
                <w:color w:val="FF0000"/>
                <w:sz w:val="26"/>
                <w:szCs w:val="26"/>
              </w:rPr>
              <w:t xml:space="preserve">, dùng LLM trích thông tin rồi so khớp với dữ liệu tham chiếu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hay tập nhãn có lớp gây hiểu nhầm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đã có trong các nghiên cứu trước; điểm mới của đề tài nằm ở cách biểu diễn và đối chiếu điều kiện ràng buộc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Cụ thể hóa lớp tuyên bố gây hiểu nhầm (tương tự nhãn Cherry-picking của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thành nhãn Lệch điều kiện cho thông số kỹ thuật. Nhãn này được xác định bằng phép đối chiếu điều kiện tường minh thay vì để LLM tự phán đoán.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Biểu diễn mỗi thông số, ở cả tuyên bố và tài liệu, thành bộ (sản phẩm và phiên bản, bộ phận, thuộc tính, giá trị, đơn vị, điều kiện ràng buộc, kiểu giá trị). LLM trích xuất bộ này nhưng mỗi trường phải kèm câu trích nguyên văn; Python kiểm tra câu trích có trong văn bản và con số khớp với giá trị, trường không neo được vào nguồn thì bị loại. Neo nguồn loại bỏ giá trị và điều kiện mà LLM tự thêm; bước kiểm tra đầy đủ theo các cách diễn đạt điều kiện ghi trong tệp cấu hình phát hiện điều kiện bị LLM bỏ sót. Biểu diễn và bộ quyết định được thiết kế không gắn với một nhóm sản phẩm cụ thể; khi thêm nhóm mới, phần cần bổ sung là danh sách thuộc tính và điều kiện bắt buộc của nhóm đó.</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kiểm chứng tuyên bố có điều kiện ràng buộc, gồm trích xuất có neo nguồn và bộ quyết định bốn nhãn, được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dữ liệu tiếng Việt gồm các tuyên bố thông số có điều kiện ràng buộc trong quảng cáo do LLM tạo, gán bốn nhãn kèm đoạn nguồn và lý do, cùng tập cặp tối thiểu dựa trên ý tưởng cặp tương phản của VitaminC </w:t>
            </w:r>
            <w:r>
              <w:rPr>
                <w:rFonts w:ascii="Times New Roman" w:cs="Times New Roman" w:eastAsia="Times New Roman" w:hAnsi="Times New Roman"/>
                <w:color w:val="FF0000"/>
                <w:sz w:val="26"/>
                <w:szCs w:val="26"/>
              </w:rPr>
              <w:t xml:space="preserve">[23]</w:t>
            </w:r>
            <w:r>
              <w:rPr>
                <w:rFonts w:ascii="Times New Roman" w:cs="Times New Roman" w:eastAsia="Times New Roman" w:hAnsi="Times New Roman"/>
                <w:color w:val="FF0000"/>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Kết quả đánh giá có đối chứng: so sánh P với bốn phương pháp đối chứng đại diện cho các cách kiểm chứng hiện có và hai bản bỏ thành phần, trên cùng tuyên bố, cùng bằng chứng và cùng LLM.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Tính năng “Kiểm chứng thông số” trong CopyPro, giúp người viết quảng cáo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cách kiểm chứng ba nhãn như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và các hệ thống tiếng Việt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thêm nhãn và bước đối chiếu điều kiện, nên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cách để LLM gán bốn nhãn chỉ bằng câu lệnh theo kiểu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nhãn được quyết định bằng quy tắc tường minh trên dữ liệu đã neo nguồn nên giải thích và kiểm thử được, trong khi đối chứng cũng nhận cùng hướng dẫn gán nhãn dưới dạng văn bản; kỳ vọng tăng F1 của nhãn Lệch điều kiện, lớp mà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hướng LLM trích thông tin kết hợp quy tắc của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kiểm chứng từng tuyên bố thay vì một nhãn cho cả bài, so khớp theo điều kiện thay vì theo ngưỡng độ tương đồng, và kiểm tra câu trích để LLM không thêm hoặc bỏ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phát hiện ảo giác ở mức thuộc tính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và kiểm tra mức khớp với tài liệu nền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đưa điều kiện ràng buộc vào đơn vị so khớp, nên phân biệt được tuyên bố sai giá trị với tuyên bố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color w:val="FF0000"/>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color w:val="FF0000"/>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color w:val="FF0000"/>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color w:val="FF0000"/>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M4. Tích hợp tính năng kiểm chứng vào website CopyPro để người dùng xem nhãn, đoạn nguồn và lý do của từng tuyên bố ngay sau khi tạo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color w:val="FF0000"/>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color w:val="FF0000"/>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color w:val="FF0000"/>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color w:val="FF0000"/>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chọn thiết bị điện tử tiêu dùng trong các ngành CopyPro hỗ trợ: đây là nhóm có trang thông số chính hãng công khai, ghi rõ con số và điều kiện đo. Quảng cáo ở các ngành như mỹ phẩm, ẩm thực hay du lịch chủ yếu nêu cảm nhận, giá, ưu đãi hoặc số liệu từ thử nghiệm không công bố, nên khó có bằng chứng văn bản chuẩn để đối chiếu.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Tiêu chí chọn nhóm sản phẩm: phương pháp áp dụng được cho một nhóm thiết bị điện tử tiêu dùng khi (1) hãng có trang thông số chính thức bằng tiếng Việt để làm bằng chứng và (2) thông số là số liệu đo được, được công bố kèm điều kiện ràng buộc. Nhóm được đưa vào thực nghiệm phải thỏa thêm: (3) có chung các nhóm thông số pin, sạc và kháng nước để so sánh kết quả giữa các nhóm trên cùng loại thông số;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Ba nhóm được chọn thỏa cả bốn tiêu chí. Với điện thoại, độ sáng cực đại 3200 nit của Xiaomi 15T được công bố “trên 25% diện tích màn hình” </w:t>
            </w:r>
            <w:r>
              <w:rPr>
                <w:rFonts w:ascii="Times New Roman" w:cs="Times New Roman" w:eastAsia="Times New Roman" w:hAnsi="Times New Roman"/>
                <w:color w:val="FF0000"/>
                <w:sz w:val="26"/>
                <w:szCs w:val="26"/>
              </w:rPr>
              <w:t xml:space="preserve">[24]</w:t>
            </w:r>
            <w:r>
              <w:rPr>
                <w:rFonts w:ascii="Times New Roman" w:cs="Times New Roman" w:eastAsia="Times New Roman" w:hAnsi="Times New Roman"/>
                <w:color w:val="FF0000"/>
                <w:sz w:val="26"/>
                <w:szCs w:val="26"/>
              </w:rPr>
              <w:t xml:space="preserve">; độ sáng tối đa 4500 nit của OPPO Find X8 được ghi kèm điều kiện 1% APL, tức chỉ một vùng rất nhỏ của màn hình hiển thị sáng </w:t>
            </w:r>
            <w:r>
              <w:rPr>
                <w:rFonts w:ascii="Times New Roman" w:cs="Times New Roman" w:eastAsia="Times New Roman" w:hAnsi="Times New Roman"/>
                <w:color w:val="FF0000"/>
                <w:sz w:val="26"/>
                <w:szCs w:val="26"/>
              </w:rPr>
              <w:t xml:space="preserve">[25]</w:t>
            </w:r>
            <w:r>
              <w:rPr>
                <w:rFonts w:ascii="Times New Roman" w:cs="Times New Roman" w:eastAsia="Times New Roman" w:hAnsi="Times New Roman"/>
                <w:color w:val="FF0000"/>
                <w:sz w:val="26"/>
                <w:szCs w:val="26"/>
              </w:rPr>
              <w:t xml:space="preserve">. Với tai nghe, Galaxy Buds3 Pro công bố thời lượng pin theo chế độ chống ồn như ví dụ ở mục 2, và chỉ tai nghe đạt IP57 còn hộp sạc không có khả năng kháng nước </w:t>
            </w:r>
            <w:r>
              <w:rPr>
                <w:rFonts w:ascii="Times New Roman" w:cs="Times New Roman" w:eastAsia="Times New Roman" w:hAnsi="Times New Roman"/>
                <w:color w:val="FF0000"/>
                <w:sz w:val="26"/>
                <w:szCs w:val="26"/>
              </w:rPr>
              <w:t xml:space="preserve">[21]</w:t>
            </w:r>
            <w:r>
              <w:rPr>
                <w:rFonts w:ascii="Times New Roman" w:cs="Times New Roman" w:eastAsia="Times New Roman" w:hAnsi="Times New Roman"/>
                <w:color w:val="FF0000"/>
                <w:sz w:val="26"/>
                <w:szCs w:val="26"/>
              </w:rPr>
              <w:t xml:space="preserve">. Với đồng hồ, Apple Watch SE 3 dùng được lên đến 18 giờ ở chế độ thường và 32 giờ ở chế độ nguồn điện thấp </w:t>
            </w:r>
            <w:r>
              <w:rPr>
                <w:rFonts w:ascii="Times New Roman" w:cs="Times New Roman" w:eastAsia="Times New Roman" w:hAnsi="Times New Roman"/>
                <w:color w:val="FF0000"/>
                <w:sz w:val="26"/>
                <w:szCs w:val="26"/>
              </w:rPr>
              <w:t xml:space="preserve">[26]</w:t>
            </w:r>
            <w:r>
              <w:rPr>
                <w:rFonts w:ascii="Times New Roman" w:cs="Times New Roman" w:eastAsia="Times New Roman" w:hAnsi="Times New Roman"/>
                <w:color w:val="FF0000"/>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CopyPro tạo ở ngành Công nghệ bằng hai LLM có sẵn trên website (Gemini 2.5 Flash và Llama 3.3 70B) với ba loại bài có sẵn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thuộc phạm vi: tuyên bố về thông số không kèm điều kiện (ví dụ khối lượng, kích thước, phiên bản Bluetooth), tuyên bố cảm tính (ví dụ “đẹp nhất”, “mượt mà”), so sánh với sản phẩm khác, giá và khuyến mãi. Máy tính xách tay, máy tính bảng, tivi và đồ gia dụng không thuộc phạm vi thực nghiệm: các nhóm này dùng được cùng cách biểu diễn và bộ quyết định nhưng cần định nghĩa thêm nhiều thuộc tính và điều kiện bắt buộc riêng (ví dụ thông số thay đổi theo cấu hình máy, điện năng tiêu thụ theo tiêu chuẩn đo); khối lượng gán nhãn khi đó vượt quá sức một người trong thời gian khóa luận nên được để lại làm hướng mở rộng. Đề tài không đo hiệu năng thực tế và không đưa ra kết luận pháp lý. Người dùng chọn mẫu sản phẩm khi kiểm chứng, hệ thống không tự nhận diện sản phẩm.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Lập danh sách thuộc tính có điều kiện ràng buộc và điều kiện bắt buộc của từng thuộc tính cho mỗi nhóm sản phẩm (ví dụ sạc nhanh cần công suất bộ sạc, độ sáng cần chế độ hiển thị, zoom cần phân biệt quang học và kỹ thuật số, pin tai nghe cần chế độ chống ồn và có tính hộp sạc hay không, pin đồng hồ cần chế độ sử dụng), lưu thành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color w:val="FF0000"/>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color w:val="FF0000"/>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[22]</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tìm trong tài liệu của mẫu sản phẩm người dùng đã chọn.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Trích xuất có neo nguồn: LLM chuyển tuyên bố và các đoạn bằng chứng thành bộ thông số (sản phẩm và phiên bản, bộ phận, thuộc tính, giá trị, đơn vị, điều kiện ràng buộc, kiểu giá trị), mỗi trường kèm câu trích nguyên văn. Python kiểm tra câu trích có trong văn bản gốc và con số trong câu trích bằng giá trị đã trích; trường không đạt bị loại thay vì đoán. Sau đó kiểm tra đầy đủ: điều kiện có trong văn bản (nhận theo các cách diễn đạt ghi trong tệp cấu hình) mà LLM bỏ sót được bổ sung;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quyết định bốn nhãn: A tìm thông số cùng sản phẩm và thuộc tính; B xác định điều kiện của tuyên bố (điều kiện nêu rõ, hoặc cách hiểu thông thường với điều kiện không nêu) rồi đối chiếu với điều kiện của từng thông số trong tài liệu, gồm chế độ hoạt động, bộ phận, phụ kiện, phiên bản, điều kiện đo và kiểu giá trị; C so giá trị theo đơn vị và hướng thuận lợi của thuộc tính; D tổng hợp nhãn theo thứ tự: không có thông số cùng sản phẩm và thuộc tính → Chưa đủ thông tin; mức tối đa bị biến thành mức chắc chắn đạt → Lệch điều kiện; cùng điều kiện và giá trị khớp → Đúng; giá trị trùng giá trị ở điều kiện khác → Lệch điều kiện; cùng điều kiện nhưng giá trị mâu thuẫn, hoặc giá trị thuận lợi hơn mọi giá trị công bố → Sai; còn lại → Chưa đủ thông tin. Danh sách thuộc tính và điều kiện bắt buộc của từng nhóm sản phẩm được lưu thành tệp cấu hình tách khỏi các quy tắc A–D, nên thêm nhóm sản phẩm mới không phải sửa bộ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color w:val="FF0000"/>
                <w:sz w:val="26"/>
                <w:szCs w:val="26"/>
              </w:rPr>
              <w:t xml:space="preserve">P với bốn phương pháp đối chứng B0–B3 đại diện cho các cách kiểm chứng hiện có và hai bản bỏ thành phần P−ĐK, P−NN (Bảng 2). Mọi phương pháp dùng cùng tuyên bố, cùng k đoạn bằng chứng xếp hạng cao nhất (top-k), cùng LLM và cùng cấu hình. B0 và B3 chỉ có ba nhãn nên được so sánh chủ yếu bằng FAR và các nhãn chung.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100"/>
              <w:gridCol w:w="4700"/>
              <w:gridCol w:w="3400"/>
            </w:tblGrid>
            <w:tr>
              <w:trPr>
                <w:cantSplit/>
                <w:tblHeader/>
              </w:trPr>
              <w:tc>
                <w:tcPr>
                  <w:tcW w:w="11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Ký hiệu</w:t>
                  </w:r>
                </w:p>
              </w:tc>
              <w:tc>
                <w:tcPr>
                  <w:tcW w:w="47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Cách gán nhãn</w:t>
                  </w:r>
                </w:p>
              </w:tc>
              <w:tc>
                <w:tcPr>
                  <w:tcW w:w="3400" w:type="dxa"/>
                  <w:vAlign w:val="center"/>
                </w:tcPr>
                <w:p>
                  <w:pPr>
                    <w:spacing w:before="20" w:after="20" w:line="252" w:lineRule="auto"/>
                    <w:jc w:val="center"/>
                  </w:pPr>
                  <w:r>
                    <w:rPr>
                      <w:rFonts w:ascii="Times New Roman" w:cs="Times New Roman" w:eastAsia="Times New Roman" w:hAnsi="Times New Roman"/>
                      <w:b/>
                      <w:bCs/>
                      <w:color w:val="FF0000"/>
                      <w:sz w:val="22"/>
                      <w:szCs w:val="22"/>
                    </w:rPr>
                    <w:t xml:space="preserve">Vai trò trong so sánh</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B0</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đọc trực tiếp rồi gán nhãn</w:t>
                  </w:r>
                  <w:r>
                    <w:rPr>
                      <w:rFonts w:ascii="Times New Roman" w:cs="Times New Roman" w:eastAsia="Times New Roman" w:hAnsi="Times New Roman"/>
                      <w:color w:val="FF0000"/>
                      <w:sz w:val="22"/>
                      <w:szCs w:val="22"/>
                    </w:rPr>
                    <w:t xml:space="preserve"> theo ba lớp Supported, Refuted, NEI</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Đại diện cách kiểm chứng ba nhãn phổ biến </w:t>
                  </w:r>
                  <w:r>
                    <w:rPr>
                      <w:rFonts w:ascii="Times New Roman" w:cs="Times New Roman" w:eastAsia="Times New Roman" w:hAnsi="Times New Roman"/>
                      <w:color w:val="FF0000"/>
                      <w:sz w:val="22"/>
                      <w:szCs w:val="22"/>
                    </w:rPr>
                    <w:t xml:space="preserve">[6]</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B1</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nhận thông tin có cấu trúc rồi gán nhãn</w:t>
                  </w:r>
                  <w:r>
                    <w:rPr>
                      <w:rFonts w:ascii="Times New Roman" w:cs="Times New Roman" w:eastAsia="Times New Roman" w:hAnsi="Times New Roman"/>
                      <w:color w:val="FF0000"/>
                      <w:sz w:val="22"/>
                      <w:szCs w:val="22"/>
                    </w:rPr>
                    <w:t xml:space="preserve"> theo bốn lớp, dùng cùng bộ thông số và cùng hướng dẫn gán nhãn với P</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So với P để tách riêng tác động của bộ quyết định</w:t>
                  </w:r>
                </w:p>
              </w:tc>
            </w:tr>
            <w:tr>
              <w:trPr>
                <w:cantSplit/>
              </w:trPr>
              <w:tc>
                <w:tcPr>
                  <w:tcW w:w="1100" w:type="dxa"/>
                </w:tcPr>
                <w:p>
                  <w:pPr>
                    <w:spacing w:before="20" w:after="20" w:line="252" w:lineRule="auto"/>
                    <w:jc w:val="left"/>
                  </w:pPr>
                  <w:r>
                    <w:rPr>
                      <w:rFonts w:ascii="Times New Roman" w:cs="Times New Roman" w:eastAsia="Times New Roman" w:hAnsi="Times New Roman"/>
                      <w:color w:val="FF0000"/>
                      <w:sz w:val="22"/>
                      <w:szCs w:val="22"/>
                    </w:rPr>
                    <w:t xml:space="preserve">B2</w:t>
                  </w:r>
                </w:p>
              </w:tc>
              <w:tc>
                <w:tcPr>
                  <w:tcW w:w="4700" w:type="dxa"/>
                </w:tcPr>
                <w:p>
                  <w:pPr>
                    <w:spacing w:before="20" w:after="20" w:line="252" w:lineRule="auto"/>
                    <w:jc w:val="left"/>
                  </w:pPr>
                  <w:r>
                    <w:rPr>
                      <w:rFonts w:ascii="Times New Roman" w:cs="Times New Roman" w:eastAsia="Times New Roman" w:hAnsi="Times New Roman"/>
                      <w:color w:val="FF0000"/>
                      <w:sz w:val="22"/>
                      <w:szCs w:val="22"/>
                    </w:rPr>
                    <w:t xml:space="preserve">LLM đọc bằng chứng và gán bốn nhãn theo hướng dẫn gán nhãn, có định nghĩa và ví dụ cho nhãn Lệch điều kiện</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Đại diện cách khắc phục chỉ bằng câu lệnh, theo cách đặt nhãn của AVeriTeC </w:t>
                  </w:r>
                  <w:r>
                    <w:rPr>
                      <w:rFonts w:ascii="Times New Roman" w:cs="Times New Roman" w:eastAsia="Times New Roman" w:hAnsi="Times New Roman"/>
                      <w:color w:val="FF0000"/>
                      <w:sz w:val="22"/>
                      <w:szCs w:val="22"/>
                    </w:rPr>
                    <w:t xml:space="preserve">[7]</w:t>
                  </w:r>
                </w:p>
              </w:tc>
            </w:tr>
            <w:tr>
              <w:trPr>
                <w:cantSplit/>
              </w:trPr>
              <w:tc>
                <w:tcPr>
                  <w:tcW w:w="1100" w:type="dxa"/>
                </w:tcPr>
                <w:p>
                  <w:pPr>
                    <w:spacing w:before="20" w:after="20" w:line="252" w:lineRule="auto"/>
                    <w:jc w:val="left"/>
                  </w:pPr>
                  <w:r>
                    <w:rPr>
                      <w:rFonts w:ascii="Times New Roman" w:cs="Times New Roman" w:eastAsia="Times New Roman" w:hAnsi="Times New Roman"/>
                      <w:color w:val="FF0000"/>
                      <w:sz w:val="22"/>
                      <w:szCs w:val="22"/>
                    </w:rPr>
                    <w:t xml:space="preserve">B3</w:t>
                  </w:r>
                </w:p>
              </w:tc>
              <w:tc>
                <w:tcPr>
                  <w:tcW w:w="4700" w:type="dxa"/>
                </w:tcPr>
                <w:p>
                  <w:pPr>
                    <w:spacing w:before="20" w:after="20" w:line="252" w:lineRule="auto"/>
                    <w:jc w:val="left"/>
                  </w:pPr>
                  <w:r>
                    <w:rPr>
                      <w:rFonts w:ascii="Times New Roman" w:cs="Times New Roman" w:eastAsia="Times New Roman" w:hAnsi="Times New Roman"/>
                      <w:color w:val="FF0000"/>
                      <w:sz w:val="22"/>
                      <w:szCs w:val="22"/>
                    </w:rPr>
                    <w:t xml:space="preserve">Mô hình phân loại ba nhãn tiếng Việt đã huấn luyện sẵn do nhóm SemViQA </w:t>
                  </w:r>
                  <w:r>
                    <w:rPr>
                      <w:rFonts w:ascii="Times New Roman" w:cs="Times New Roman" w:eastAsia="Times New Roman" w:hAnsi="Times New Roman"/>
                      <w:color w:val="FF0000"/>
                      <w:sz w:val="22"/>
                      <w:szCs w:val="22"/>
                    </w:rPr>
                    <w:t xml:space="preserve">[11]</w:t>
                  </w:r>
                  <w:r>
                    <w:rPr>
                      <w:rFonts w:ascii="Times New Roman" w:cs="Times New Roman" w:eastAsia="Times New Roman" w:hAnsi="Times New Roman"/>
                      <w:color w:val="FF0000"/>
                      <w:sz w:val="22"/>
                      <w:szCs w:val="22"/>
                    </w:rPr>
                    <w:t xml:space="preserve"> công bố, chạy trên cặp tuyên bố và bằng chứng</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Đại diện hệ thống kiểm chứng tiếng Việt sẵn có</w:t>
                  </w:r>
                </w:p>
              </w:tc>
            </w:tr>
            <w:tr>
              <w:trPr>
                <w:cantSplit/>
              </w:trPr>
              <w:tc>
                <w:tcPr>
                  <w:tcW w:w="1100" w:type="dxa"/>
                </w:tcPr>
                <w:p>
                  <w:pPr>
                    <w:spacing w:before="20" w:after="20" w:line="252" w:lineRule="auto"/>
                    <w:jc w:val="left"/>
                  </w:pPr>
                  <w:r>
                    <w:rPr>
                      <w:rFonts w:ascii="Times New Roman" w:cs="Times New Roman" w:eastAsia="Times New Roman" w:hAnsi="Times New Roman"/>
                      <w:color w:val="FF0000"/>
                      <w:sz w:val="22"/>
                      <w:szCs w:val="22"/>
                    </w:rPr>
                    <w:t xml:space="preserve">P−ĐK</w:t>
                  </w:r>
                </w:p>
              </w:tc>
              <w:tc>
                <w:tcPr>
                  <w:tcW w:w="4700" w:type="dxa"/>
                </w:tcPr>
                <w:p>
                  <w:pPr>
                    <w:spacing w:before="20" w:after="20" w:line="252" w:lineRule="auto"/>
                    <w:jc w:val="left"/>
                  </w:pPr>
                  <w:r>
                    <w:rPr>
                      <w:rFonts w:ascii="Times New Roman" w:cs="Times New Roman" w:eastAsia="Times New Roman" w:hAnsi="Times New Roman"/>
                      <w:color w:val="FF0000"/>
                      <w:sz w:val="22"/>
                      <w:szCs w:val="22"/>
                    </w:rPr>
                    <w:t xml:space="preserve">P bỏ bước đối chiếu điều kiện, chỉ so giá trị</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Đo đóng góp của bước đối chiếu điều kiện</w:t>
                  </w:r>
                </w:p>
              </w:tc>
            </w:tr>
            <w:tr>
              <w:trPr>
                <w:cantSplit/>
              </w:trPr>
              <w:tc>
                <w:tcPr>
                  <w:tcW w:w="1100" w:type="dxa"/>
                </w:tcPr>
                <w:p>
                  <w:pPr>
                    <w:spacing w:before="20" w:after="20" w:line="252" w:lineRule="auto"/>
                    <w:jc w:val="left"/>
                  </w:pPr>
                  <w:r>
                    <w:rPr>
                      <w:rFonts w:ascii="Times New Roman" w:cs="Times New Roman" w:eastAsia="Times New Roman" w:hAnsi="Times New Roman"/>
                      <w:color w:val="FF0000"/>
                      <w:sz w:val="22"/>
                      <w:szCs w:val="22"/>
                    </w:rPr>
                    <w:t xml:space="preserve">P−NN</w:t>
                  </w:r>
                </w:p>
              </w:tc>
              <w:tc>
                <w:tcPr>
                  <w:tcW w:w="4700" w:type="dxa"/>
                </w:tcPr>
                <w:p>
                  <w:pPr>
                    <w:spacing w:before="20" w:after="20" w:line="252" w:lineRule="auto"/>
                    <w:jc w:val="left"/>
                  </w:pPr>
                  <w:r>
                    <w:rPr>
                      <w:rFonts w:ascii="Times New Roman" w:cs="Times New Roman" w:eastAsia="Times New Roman" w:hAnsi="Times New Roman"/>
                      <w:color w:val="FF0000"/>
                      <w:sz w:val="22"/>
                      <w:szCs w:val="22"/>
                    </w:rPr>
                    <w:t xml:space="preserve">P bỏ bước neo nguồn và kiểm tra đầy đủ</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Đo đóng góp của neo nguồn</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P</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trích xuất thông tin</w:t>
                  </w:r>
                  <w:r>
                    <w:rPr>
                      <w:rFonts w:ascii="Times New Roman" w:cs="Times New Roman" w:eastAsia="Times New Roman" w:hAnsi="Times New Roman"/>
                      <w:color w:val="FF0000"/>
                      <w:sz w:val="22"/>
                      <w:szCs w:val="22"/>
                    </w:rPr>
                    <w:t xml:space="preserve"> có neo nguồn</w:t>
                  </w:r>
                  <w:r>
                    <w:rPr>
                      <w:rFonts w:ascii="Times New Roman" w:cs="Times New Roman" w:eastAsia="Times New Roman" w:hAnsi="Times New Roman"/>
                      <w:sz w:val="22"/>
                      <w:szCs w:val="22"/>
                    </w:rPr>
                    <w:t xml:space="preserve">, Python dùng </w:t>
                  </w:r>
                  <w:r>
                    <w:rPr>
                      <w:rFonts w:ascii="Times New Roman" w:cs="Times New Roman" w:eastAsia="Times New Roman" w:hAnsi="Times New Roman"/>
                      <w:color w:val="FF0000"/>
                      <w:sz w:val="22"/>
                      <w:szCs w:val="22"/>
                    </w:rPr>
                    <w:t xml:space="preserve">bộ quyết định có đối chiếu điều kiện</w:t>
                  </w:r>
                  <w:r>
                    <w:rPr>
                      <w:rFonts w:ascii="Times New Roman" w:cs="Times New Roman" w:eastAsia="Times New Roman" w:hAnsi="Times New Roman"/>
                      <w:sz w:val="22"/>
                      <w:szCs w:val="22"/>
                    </w:rPr>
                    <w:t xml:space="preserve"> để gán nhãn</w:t>
                  </w:r>
                  <w:r>
                    <w:rPr>
                      <w:rFonts w:ascii="Times New Roman" w:cs="Times New Roman" w:eastAsia="Times New Roman" w:hAnsi="Times New Roman"/>
                      <w:color w:val="FF0000"/>
                      <w:sz w:val="22"/>
                      <w:szCs w:val="22"/>
                    </w:rPr>
                    <w:t xml:space="preserve"> bốn lớp</w:t>
                  </w:r>
                </w:p>
              </w:tc>
              <w:tc>
                <w:tcPr>
                  <w:tcW w:w="3400" w:type="dxa"/>
                </w:tcPr>
                <w:p>
                  <w:pPr>
                    <w:spacing w:before="20" w:after="20" w:line="252" w:lineRule="auto"/>
                    <w:jc w:val="left"/>
                  </w:pPr>
                  <w:r>
                    <w:rPr>
                      <w:rFonts w:ascii="Times New Roman" w:cs="Times New Roman" w:eastAsia="Times New Roman" w:hAnsi="Times New Roman"/>
                      <w:color w:val="FF0000"/>
                      <w:sz w:val="22"/>
                      <w:szCs w:val="22"/>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Pr>
              <w:t xml:space="preserve"> của từng nhãn và Macro-F1;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color w:val="FF0000"/>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color w:val="FF0000"/>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color w:val="FF0000"/>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color w:val="FF0000"/>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color w:val="FF0000"/>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color w:val="FF0000"/>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color w:val="FF0000"/>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chỉnh đề tài theo nhận xét của Khoa: tập trung vào tuyên bố về thông số kỹ thuật có điều kiện ràng buộc, mở rộng từ tai nghe không dây sang thiết bị điện tử tiêu dùng với ba nhóm thực nghiệm có tiêu chí chọn rõ ràng, bổ sung tổng quan, hạn chế của các phương pháp hiện có, tính mới và đóng góp;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Khảo sát bổ sung các nghiên cứu về phát hiện ảo giác của LLM, kiểm chứng thông tin sản phẩm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Chọn khoảng 12 mẫu thuộc ba nhóm sản phẩm của ít nhất ba hãng theo bốn tiêu chí đã nêu; thu thập trang thông số chính hãng, lưu bản chụp và mã băm (ưu tiên 2 mẫu thử ban đầu: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Định nghĩa điều kiện bắt buộc cho sáu nhóm thông số, lưu thành tệp cấu hình theo nhóm sản phẩm; viết hướng dẫn gán nhãn bốn lớp; giữ các ví dụ minh họa về tai nghe và bổ sung ví dụ cho điện thoại, đồng hồ thông minh.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color w:val="FF0000"/>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color w:val="FF0000"/>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color w:val="FF0000"/>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color w:val="FF0000"/>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color w:val="FF0000"/>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Xây dựng bộ quyết định bốn nhãn: A kiểm tra khớp sản phẩm, phiên bản, bộ phận và thuộc tính; B đối chiếu điều kiện ràng buộc; C so giá trị; D tổng hợp nhãn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color w:val="FF0000"/>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color w:val="FF0000"/>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color w:val="FF0000"/>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color w:val="FF0000"/>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color w:val="FF0000"/>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color w:val="FF0000"/>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color w:val="FF0000"/>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color w:val="FF0000"/>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color w:val="FF0000"/>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Trang thông số của một số hãng thiếu chú thích điều kiện, hiển thị bằng mã động hoặc ghi không nhất quán: ưu tiên hãng có chú thích đầy đủ, chụp lại trang sau khi hiển thị xong; thông số không có hoặc mâu thuẫn trong tài liệu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chậm hơn dự kiến: giảm số tuyên bố từ quảng cáo thông thường nhưng giữ tập cặp tối thiểu và giữ đủ các hãng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Giới hạn lượt gọi API: lưu bộ nhớ đệm kết quả gọi LLM, dùng các mô hình đã có trên CopyPro cho cả sinh quảng cáo và kiểm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đủ thời gian cho cả ba nhóm sản phẩm: giảm số mẫu mỗi nhóm nhưng giữ đủ ba nhóm trong tập kiểm tra để vẫn so sánh được giữa các nhóm.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tìm được người gán thứ hai: chỉ báo độ nhất quán khi gán lại và ghi rõ giới hạn này, không gọi là độ đồng thuận giữa hai người.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 </w:t>
            </w:r>
            <w:r>
              <w:rPr>
                <w:rFonts w:ascii="Times New Roman" w:cs="Times New Roman" w:eastAsia="Times New Roman" w:hAnsi="Times New Roman"/>
                <w:color w:val="FF0000"/>
                <w:sz w:val="26"/>
                <w:szCs w:val="26"/>
              </w:rPr>
              <w:t xml:space="preserve">A. T.-H. Nguyen, K. Q. Tran, T. V. Huynh, P. T.-H. Nguyen, C. T. Nguyen, and K. V. Nguyen, “DSC2025 – ViHallu challenge: Detecting hallucination in Vietnamese LLMs,” arXiv preprint arXiv:2601.04711, 2026. [Online]. Available: https://arxiv.org/abs/2601.04711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 </w:t>
            </w:r>
            <w:r>
              <w:rPr>
                <w:rFonts w:ascii="Times New Roman" w:cs="Times New Roman" w:eastAsia="Times New Roman" w:hAnsi="Times New Roman"/>
                <w:color w:val="FF0000"/>
                <w:sz w:val="26"/>
                <w:szCs w:val="26"/>
              </w:rPr>
              <w:t xml:space="preserve">Apple Việt Nam, “iPhone 17 – Thông số kỹ thuật.” [Online]. Available: https://www.apple.com/vn/iphone-17/specs/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[3] </w:t>
            </w:r>
            <w:r>
              <w:rPr>
                <w:rFonts w:ascii="Times New Roman" w:cs="Times New Roman" w:eastAsia="Times New Roman" w:hAnsi="Times New Roman"/>
                <w:color w:val="FF0000"/>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[4] </w:t>
            </w:r>
            <w:r>
              <w:rPr>
                <w:rFonts w:ascii="Times New Roman" w:cs="Times New Roman" w:eastAsia="Times New Roman" w:hAnsi="Times New Roman"/>
                <w:color w:val="FF0000"/>
                <w:sz w:val="26"/>
                <w:szCs w:val="26"/>
              </w:rPr>
              <w:t xml:space="preserve">Quốc hội nước Cộng hòa xã hội chủ nghĩa Việt Nam, </w:t>
            </w:r>
            <w:r>
              <w:rPr>
                <w:rFonts w:ascii="Times New Roman" w:cs="Times New Roman" w:eastAsia="Times New Roman" w:hAnsi="Times New Roman"/>
                <w:i/>
                <w:iCs/>
                <w:color w:val="FF0000"/>
                <w:sz w:val="26"/>
                <w:szCs w:val="26"/>
              </w:rPr>
              <w:t xml:space="preserve">Luật sửa đổi, bổ sung một số điều của Luật Quảng cáo</w:t>
            </w:r>
            <w:r>
              <w:rPr>
                <w:rFonts w:ascii="Times New Roman" w:cs="Times New Roman" w:eastAsia="Times New Roman" w:hAnsi="Times New Roman"/>
                <w:color w:val="FF0000"/>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[5] </w:t>
            </w:r>
            <w:r>
              <w:rPr>
                <w:rFonts w:ascii="Times New Roman" w:cs="Times New Roman" w:eastAsia="Times New Roman" w:hAnsi="Times New Roman"/>
                <w:color w:val="FF0000"/>
                <w:sz w:val="26"/>
                <w:szCs w:val="26"/>
              </w:rPr>
              <w:t xml:space="preserve">Z. Guo, M. Schlichtkrull, and A. Vlachos, “A survey on automated fact-checking,” </w:t>
            </w:r>
            <w:r>
              <w:rPr>
                <w:rFonts w:ascii="Times New Roman" w:cs="Times New Roman" w:eastAsia="Times New Roman" w:hAnsi="Times New Roman"/>
                <w:i/>
                <w:iCs/>
                <w:color w:val="FF0000"/>
                <w:sz w:val="26"/>
                <w:szCs w:val="26"/>
              </w:rPr>
              <w:t xml:space="preserve">Transactions of the Association for Computational Linguistics</w:t>
            </w:r>
            <w:r>
              <w:rPr>
                <w:rFonts w:ascii="Times New Roman" w:cs="Times New Roman" w:eastAsia="Times New Roman" w:hAnsi="Times New Roman"/>
                <w:color w:val="FF0000"/>
                <w:sz w:val="26"/>
                <w:szCs w:val="26"/>
              </w:rPr>
              <w:t xml:space="preserve">, vol. 10, pp. 178–206, 2022. [Online]. Available: https://aclanthology.org/2022.tacl-1.11/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[6] </w:t>
            </w:r>
            <w:r>
              <w:rPr>
                <w:rFonts w:ascii="Times New Roman" w:cs="Times New Roman" w:eastAsia="Times New Roman" w:hAnsi="Times New Roman"/>
                <w:color w:val="FF0000"/>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color w:val="FF0000"/>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2018, pp. 809–819. [Online]. Available: https://aclanthology.org/N18-1074/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[7] </w:t>
            </w:r>
            <w:r>
              <w:rPr>
                <w:rFonts w:ascii="Times New Roman" w:cs="Times New Roman" w:eastAsia="Times New Roman" w:hAnsi="Times New Roman"/>
                <w:color w:val="FF0000"/>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color w:val="FF0000"/>
                <w:sz w:val="26"/>
                <w:szCs w:val="26"/>
              </w:rPr>
              <w:t xml:space="preserve">Advances in Neural Information Processing Systems 36 (Datasets and Benchmarks Track)</w:t>
            </w:r>
            <w:r>
              <w:rPr>
                <w:rFonts w:ascii="Times New Roman" w:cs="Times New Roman" w:eastAsia="Times New Roman" w:hAnsi="Times New Roman"/>
                <w:color w:val="FF0000"/>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[8] </w:t>
            </w:r>
            <w:r>
              <w:rPr>
                <w:rFonts w:ascii="Times New Roman" w:cs="Times New Roman" w:eastAsia="Times New Roman" w:hAnsi="Times New Roman"/>
                <w:color w:val="FF0000"/>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color w:val="FF0000"/>
                <w:sz w:val="26"/>
                <w:szCs w:val="26"/>
              </w:rPr>
              <w:t xml:space="preserve">Proceedings of the AAAI Conference on Artificial Intelligence</w:t>
            </w:r>
            <w:r>
              <w:rPr>
                <w:rFonts w:ascii="Times New Roman" w:cs="Times New Roman" w:eastAsia="Times New Roman" w:hAnsi="Times New Roman"/>
                <w:color w:val="FF0000"/>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[9] </w:t>
            </w:r>
            <w:r>
              <w:rPr>
                <w:rFonts w:ascii="Times New Roman" w:cs="Times New Roman" w:eastAsia="Times New Roman" w:hAnsi="Times New Roman"/>
                <w:color w:val="FF0000"/>
                <w:sz w:val="26"/>
                <w:szCs w:val="26"/>
              </w:rPr>
              <w:t xml:space="preserve">H. T. Le, L. T. To, M. T. Nguyen, and K. V. Nguyen, “ViWikiFC: Fact-checking for Vietnamese Wikipedia-based textual knowledge source,” arXiv preprint arXiv:2405.07615, 2024. [Online]. Available: https://arxiv.org/abs/2405.07615</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[10] </w:t>
            </w:r>
            <w:r>
              <w:rPr>
                <w:rFonts w:ascii="Times New Roman" w:cs="Times New Roman" w:eastAsia="Times New Roman" w:hAnsi="Times New Roman"/>
                <w:color w:val="FF0000"/>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color w:val="FF0000"/>
                <w:sz w:val="26"/>
                <w:szCs w:val="26"/>
              </w:rPr>
              <w:t xml:space="preserve">Proceedings of the 18th International Natural Language Generation Conference (INLG)</w:t>
            </w:r>
            <w:r>
              <w:rPr>
                <w:rFonts w:ascii="Times New Roman" w:cs="Times New Roman" w:eastAsia="Times New Roman" w:hAnsi="Times New Roman"/>
                <w:color w:val="FF0000"/>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[11] </w:t>
            </w:r>
            <w:r>
              <w:rPr>
                <w:rFonts w:ascii="Times New Roman" w:cs="Times New Roman" w:eastAsia="Times New Roman" w:hAnsi="Times New Roman"/>
                <w:color w:val="FF0000"/>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color w:val="FF0000"/>
                <w:sz w:val="26"/>
                <w:szCs w:val="26"/>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[12] </w:t>
            </w:r>
            <w:r>
              <w:rPr>
                <w:rFonts w:ascii="Times New Roman" w:cs="Times New Roman" w:eastAsia="Times New Roman" w:hAnsi="Times New Roman"/>
                <w:sz w:val="26"/>
                <w:szCs w:val="26"/>
              </w:rPr>
              <w:t xml:space="preserve">P. Chungkham, V. V, V. Setty, and A. Anand, “Think right, not more: Test-time scaling for numerical claim verification,” in </w:t>
            </w:r>
            <w:r>
              <w:rPr>
                <w:rFonts w:ascii="Times New Roman" w:cs="Times New Roman" w:eastAsia="Times New Roman" w:hAnsi="Times New Roman"/>
                <w:i/>
                <w:iCs/>
                <w:sz w:val="26"/>
                <w:szCs w:val="26"/>
              </w:rPr>
              <w:t xml:space="preserve">Findings of the Association for Computational Linguistics: EMNLP 2025</w:t>
            </w:r>
            <w:r>
              <w:rPr>
                <w:rFonts w:ascii="Times New Roman" w:cs="Times New Roman" w:eastAsia="Times New Roman" w:hAnsi="Times New Roman"/>
                <w:sz w:val="26"/>
                <w:szCs w:val="26"/>
              </w:rPr>
              <w:t xml:space="preserve">, 2025, pp. 24345–24363. https://doi.org/10.18653/v1/2025.findings-emnlp.1322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[13] </w:t>
            </w:r>
            <w:r>
              <w:rPr>
                <w:rFonts w:ascii="Times New Roman" w:cs="Times New Roman" w:eastAsia="Times New Roman" w:hAnsi="Times New Roman"/>
                <w:color w:val="FF0000"/>
                <w:sz w:val="26"/>
                <w:szCs w:val="26"/>
              </w:rPr>
              <w:t xml:space="preserve">P. R. Aarnes and V. Setty, “NumPert: Numerical perturbations to probe language models for veracity prediction,” in </w:t>
            </w:r>
            <w:r>
              <w:rPr>
                <w:rFonts w:ascii="Times New Roman" w:cs="Times New Roman" w:eastAsia="Times New Roman" w:hAnsi="Times New Roman"/>
                <w:i/>
                <w:iCs/>
                <w:color w:val="FF0000"/>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Pr>
              <w:t xml:space="preserve">, 2025, pp. 78–95. [Online]. Available: https://aclanthology.org/2025.ijcnlp-srw.8/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[14]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[15] </w:t>
            </w:r>
            <w:r>
              <w:rPr>
                <w:rFonts w:ascii="Times New Roman" w:cs="Times New Roman" w:eastAsia="Times New Roman" w:hAnsi="Times New Roman"/>
                <w:color w:val="FF0000"/>
                <w:sz w:val="26"/>
                <w:szCs w:val="26"/>
              </w:rPr>
              <w:t xml:space="preserve">L. Tang, P. Laban, and G. Durrett, “MiniCheck: Efficient fact-checking of LLMs on grounding documents,” in </w:t>
            </w:r>
            <w:r>
              <w:rPr>
                <w:rFonts w:ascii="Times New Roman" w:cs="Times New Roman" w:eastAsia="Times New Roman" w:hAnsi="Times New Roman"/>
                <w:i/>
                <w:iCs/>
                <w:color w:val="FF0000"/>
                <w:sz w:val="26"/>
                <w:szCs w:val="26"/>
              </w:rPr>
              <w:t xml:space="preserve">Proceedings of the 2024 Conference on Empirical Methods in Natural Language Processing (EMNLP)</w:t>
            </w:r>
            <w:r>
              <w:rPr>
                <w:rFonts w:ascii="Times New Roman" w:cs="Times New Roman" w:eastAsia="Times New Roman" w:hAnsi="Times New Roman"/>
                <w:color w:val="FF0000"/>
                <w:sz w:val="26"/>
                <w:szCs w:val="26"/>
              </w:rPr>
              <w:t xml:space="preserve">, 2024, pp. 8818–8847. [Online]. Available: https://aclanthology.org/2024.emnlp-main.499/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[16]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[17] </w:t>
            </w:r>
            <w:r>
              <w:rPr>
                <w:rFonts w:ascii="Times New Roman" w:cs="Times New Roman" w:eastAsia="Times New Roman" w:hAnsi="Times New Roman"/>
                <w:color w:val="FF0000"/>
                <w:sz w:val="26"/>
                <w:szCs w:val="26"/>
              </w:rPr>
              <w:t xml:space="preserve">L. Jiang, K. Jiang, X. Chu, S. Gulati, and P. Garg, “Hallucination detection in LLM-enriched product listings,” in </w:t>
            </w:r>
            <w:r>
              <w:rPr>
                <w:rFonts w:ascii="Times New Roman" w:cs="Times New Roman" w:eastAsia="Times New Roman" w:hAnsi="Times New Roman"/>
                <w:i/>
                <w:iCs/>
                <w:color w:val="FF0000"/>
                <w:sz w:val="26"/>
                <w:szCs w:val="26"/>
              </w:rPr>
              <w:t xml:space="preserve">Proceedings of the Seventh Workshop on e-Commerce and NLP (ECNLP) @ LREC-COLING 2024</w:t>
            </w:r>
            <w:r>
              <w:rPr>
                <w:rFonts w:ascii="Times New Roman" w:cs="Times New Roman" w:eastAsia="Times New Roman" w:hAnsi="Times New Roman"/>
                <w:color w:val="FF0000"/>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[18] </w:t>
            </w:r>
            <w:r>
              <w:rPr>
                <w:rFonts w:ascii="Times New Roman" w:cs="Times New Roman" w:eastAsia="Times New Roman" w:hAnsi="Times New Roman"/>
                <w:sz w:val="26"/>
                <w:szCs w:val="26"/>
              </w:rPr>
              <w:t xml:space="preserve">J. Sun, G. Warren, I. Shklovski, and I. Augenstein, “Explaining sources of uncertainty in automated fact-checking,” in </w:t>
            </w:r>
            <w:r>
              <w:rPr>
                <w:rFonts w:ascii="Times New Roman" w:cs="Times New Roman" w:eastAsia="Times New Roman" w:hAnsi="Times New Roman"/>
                <w:i/>
                <w:iCs/>
                <w:sz w:val="26"/>
                <w:szCs w:val="26"/>
              </w:rPr>
              <w:t xml:space="preserve">Proceedings of the 64th Annual Meeting of the Association for Computational Linguistics (ACL)</w:t>
            </w:r>
            <w:r>
              <w:rPr>
                <w:rFonts w:ascii="Times New Roman" w:cs="Times New Roman" w:eastAsia="Times New Roman" w:hAnsi="Times New Roman"/>
                <w:sz w:val="26"/>
                <w:szCs w:val="26"/>
              </w:rPr>
              <w:t xml:space="preserve">, 2026, pp. 45510–45534. https://doi.org/10.18653/v1/2026.acl-long.2110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[19] </w:t>
            </w:r>
            <w:r>
              <w:rPr>
                <w:rFonts w:ascii="Times New Roman" w:cs="Times New Roman" w:eastAsia="Times New Roman" w:hAnsi="Times New Roman"/>
                <w:sz w:val="26"/>
                <w:szCs w:val="26"/>
              </w:rPr>
              <w:t xml:space="preserve">S. Zhang et al., “CoVer: Conflict-aware claim verification,” arXiv preprint arXiv:2609.00508, 2026. [Online]. Available: https://arxiv.org/abs/2609.00508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[20]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[21] </w:t>
            </w:r>
            <w:r>
              <w:rPr>
                <w:rFonts w:ascii="Times New Roman" w:cs="Times New Roman" w:eastAsia="Times New Roman" w:hAnsi="Times New Roman"/>
                <w:color w:val="FF0000"/>
                <w:sz w:val="26"/>
                <w:szCs w:val="26"/>
              </w:rPr>
              <w:t xml:space="preserve">Samsung Việt Nam, “Galaxy Buds3 Pro – Thông số kỹ thuật.” [Online]. Available: https://www.samsung.com/vn/audio-sound/galaxy-buds/galaxy-buds3-pro-silver-sm-r630nzaaxxv/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[22] </w:t>
            </w:r>
            <w:r>
              <w:rPr>
                <w:rFonts w:ascii="Times New Roman" w:cs="Times New Roman" w:eastAsia="Times New Roman" w:hAnsi="Times New Roman"/>
                <w:color w:val="FF0000"/>
                <w:sz w:val="26"/>
                <w:szCs w:val="26"/>
              </w:rPr>
              <w:t xml:space="preserve">S. Robertson and H. Zaragoza, “The probabilistic relevance framework: BM25 and beyond,” </w:t>
            </w:r>
            <w:r>
              <w:rPr>
                <w:rFonts w:ascii="Times New Roman" w:cs="Times New Roman" w:eastAsia="Times New Roman" w:hAnsi="Times New Roman"/>
                <w:i/>
                <w:iCs/>
                <w:color w:val="FF0000"/>
                <w:sz w:val="26"/>
                <w:szCs w:val="26"/>
              </w:rPr>
              <w:t xml:space="preserve">Foundations and Trends in Information Retrieval</w:t>
            </w:r>
            <w:r>
              <w:rPr>
                <w:rFonts w:ascii="Times New Roman" w:cs="Times New Roman" w:eastAsia="Times New Roman" w:hAnsi="Times New Roman"/>
                <w:color w:val="FF0000"/>
                <w:sz w:val="26"/>
                <w:szCs w:val="26"/>
              </w:rPr>
              <w:t xml:space="preserve">, vol. 3, no. 4, pp. 333–389, 2009.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[23] </w:t>
            </w:r>
            <w:r>
              <w:rPr>
                <w:rFonts w:ascii="Times New Roman" w:cs="Times New Roman" w:eastAsia="Times New Roman" w:hAnsi="Times New Roman"/>
                <w:color w:val="FF0000"/>
                <w:sz w:val="26"/>
                <w:szCs w:val="26"/>
              </w:rPr>
              <w:t xml:space="preserve">T. Schuster, A. Fisch, and R. Barzilay, “Get your vitamin C! Robust fact verification with contrastive evidence,” in </w:t>
            </w:r>
            <w:r>
              <w:rPr>
                <w:rFonts w:ascii="Times New Roman" w:cs="Times New Roman" w:eastAsia="Times New Roman" w:hAnsi="Times New Roman"/>
                <w:i/>
                <w:iCs/>
                <w:color w:val="FF0000"/>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2021, pp. 624–643. [Online]. Available: https://aclanthology.org/2021.naacl-main.52/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[24] </w:t>
            </w:r>
            <w:r>
              <w:rPr>
                <w:rFonts w:ascii="Times New Roman" w:cs="Times New Roman" w:eastAsia="Times New Roman" w:hAnsi="Times New Roman"/>
                <w:color w:val="FF0000"/>
                <w:sz w:val="26"/>
                <w:szCs w:val="26"/>
              </w:rPr>
              <w:t xml:space="preserve">Xiaomi Việt Nam, “Xiaomi 15T – Thông số kỹ thuật.” [Online]. Available: https://www.mi.com/vn/product/xiaomi-15t/specs/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[25] </w:t>
            </w:r>
            <w:r>
              <w:rPr>
                <w:rFonts w:ascii="Times New Roman" w:cs="Times New Roman" w:eastAsia="Times New Roman" w:hAnsi="Times New Roman"/>
                <w:color w:val="FF0000"/>
                <w:sz w:val="26"/>
                <w:szCs w:val="26"/>
              </w:rPr>
              <w:t xml:space="preserve">OPPO Việt Nam, “OPPO Find X8 – Thông số kỹ thuật.” [Online]. Available: https://www.oppo.com/vn/smartphones/series-find-x/find-x8/specs/ (truy cập ngày 09/10/2026).</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[26] </w:t>
            </w:r>
            <w:r>
              <w:rPr>
                <w:rFonts w:ascii="Times New Roman" w:cs="Times New Roman" w:eastAsia="Times New Roman" w:hAnsi="Times New Roman"/>
                <w:color w:val="FF0000"/>
                <w:sz w:val="26"/>
                <w:szCs w:val="26"/>
              </w:rPr>
              <w:t xml:space="preserve">Apple Việt Nam, “Pin Apple Watch.” [Online]. Available: https://www.apple.com/vn/watch/battery/ (truy cập ngày 09/10/2026).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color w:val="FF0000"/>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color w:val="FF0000"/>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