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385C9E">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385C9E">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385C9E">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385C9E">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385C9E">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385C9E">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385C9E">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385C9E">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385C9E">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385C9E">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385C9E">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385C9E">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385C9E">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385C9E">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385C9E">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385C9E">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385C9E">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385C9E">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385C9E">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385C9E">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385C9E">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385C9E">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385C9E">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385C9E">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385C9E">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w:t>
      </w:r>
      <w:r w:rsidR="00943CA5">
        <w:t>1</w:t>
      </w:r>
      <w:r>
        <w:rPr>
          <w:rFonts w:hint="eastAsia"/>
        </w:rPr>
        <w:t>－1 作业管理系统1.0版本的上下文图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w:t>
      </w:r>
      <w:r w:rsidR="00943CA5">
        <w:t>2</w:t>
      </w:r>
      <w:r>
        <w:rPr>
          <w:rFonts w:hint="eastAsia"/>
        </w:rPr>
        <w:t>－1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713C50">
              <w:rPr>
                <w:rFonts w:hint="eastAsia"/>
                <w:bCs/>
              </w:rPr>
              <w:t>已经布置的作业并且学生尚未</w:t>
            </w:r>
            <w:r>
              <w:rPr>
                <w:rFonts w:hint="eastAsia"/>
                <w:bCs/>
              </w:rPr>
              <w:t>提交。</w:t>
            </w:r>
          </w:p>
        </w:tc>
      </w:tr>
    </w:tbl>
    <w:p w:rsidR="00604B77" w:rsidRPr="00D664DC" w:rsidRDefault="00F1593E">
      <w:pPr>
        <w:pStyle w:val="2"/>
        <w:rPr>
          <w:rFonts w:asciiTheme="minorHAnsi" w:eastAsiaTheme="minorHAnsi" w:hAnsiTheme="minorHAnsi"/>
        </w:rPr>
      </w:pPr>
      <w:bookmarkStart w:id="20" w:name="_Toc12519324"/>
      <w:r w:rsidRPr="00D664DC">
        <w:rPr>
          <w:rFonts w:asciiTheme="minorHAnsi" w:eastAsiaTheme="minorHAnsi" w:hAnsiTheme="minorHAnsi" w:hint="eastAsia"/>
        </w:rPr>
        <w:t>3.2  查询作业情况</w:t>
      </w:r>
      <w:bookmarkEnd w:id="20"/>
    </w:p>
    <w:p w:rsidR="00D664DC" w:rsidRPr="00D664DC" w:rsidRDefault="00F1593E" w:rsidP="00D664DC">
      <w:pPr>
        <w:pStyle w:val="3"/>
      </w:pPr>
      <w:bookmarkStart w:id="21" w:name="_Toc12519325"/>
      <w:r>
        <w:rPr>
          <w:rFonts w:hint="eastAsia"/>
        </w:rPr>
        <w:t>3.2.1 描述</w:t>
      </w:r>
      <w:bookmarkEnd w:id="21"/>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2" w:name="_Toc12519326"/>
      <w:r>
        <w:rPr>
          <w:rFonts w:hint="eastAsia"/>
        </w:rPr>
        <w:t>3.2.2 功能性需求</w:t>
      </w:r>
      <w:bookmarkEnd w:id="22"/>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3" w:name="_Toc12519327"/>
      <w:r w:rsidRPr="00D664DC">
        <w:rPr>
          <w:rFonts w:asciiTheme="minorHAnsi" w:eastAsiaTheme="minorHAnsi" w:hAnsiTheme="minorHAnsi" w:hint="eastAsia"/>
        </w:rPr>
        <w:t>3.3  作业范例学习和点评</w:t>
      </w:r>
      <w:bookmarkEnd w:id="23"/>
    </w:p>
    <w:p w:rsidR="00604B77" w:rsidRDefault="00F1593E">
      <w:pPr>
        <w:pStyle w:val="3"/>
      </w:pPr>
      <w:bookmarkStart w:id="24" w:name="_Toc12519328"/>
      <w:r>
        <w:rPr>
          <w:rFonts w:hint="eastAsia"/>
        </w:rPr>
        <w:t>3.3.1 描述</w:t>
      </w:r>
      <w:bookmarkEnd w:id="24"/>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5" w:name="_Toc12519329"/>
      <w:r>
        <w:rPr>
          <w:rFonts w:hint="eastAsia"/>
        </w:rPr>
        <w:t>3.3.2 功能性需求</w:t>
      </w:r>
      <w:bookmarkEnd w:id="25"/>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rsidP="0078048D">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6" w:name="_Toc12519330"/>
      <w:r w:rsidRPr="00D664DC">
        <w:rPr>
          <w:rFonts w:asciiTheme="minorHAnsi" w:eastAsiaTheme="minorHAnsi" w:hAnsiTheme="minorHAnsi" w:hint="eastAsia"/>
        </w:rPr>
        <w:t>3.4  管理题库</w:t>
      </w:r>
      <w:bookmarkEnd w:id="26"/>
    </w:p>
    <w:p w:rsidR="00604B77" w:rsidRDefault="00F1593E" w:rsidP="00D664DC">
      <w:pPr>
        <w:pStyle w:val="3"/>
        <w:spacing w:line="180" w:lineRule="auto"/>
      </w:pPr>
      <w:bookmarkStart w:id="27" w:name="_Toc12519331"/>
      <w:r>
        <w:rPr>
          <w:rFonts w:hint="eastAsia"/>
        </w:rPr>
        <w:t>3.4.1 描述</w:t>
      </w:r>
      <w:bookmarkEnd w:id="27"/>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8" w:name="_Toc12519332"/>
      <w:r>
        <w:rPr>
          <w:rFonts w:hint="eastAsia"/>
        </w:rPr>
        <w:t>3.4.2 功能性需求</w:t>
      </w:r>
      <w:bookmarkEnd w:id="2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D38CA">
            <w:pPr>
              <w:ind w:firstLineChars="200" w:firstLine="420"/>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rsidP="00ED38CA">
            <w:pPr>
              <w:ind w:firstLineChars="200" w:firstLine="420"/>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rsidP="00ED38CA">
            <w:pPr>
              <w:ind w:firstLineChars="200" w:firstLine="420"/>
              <w:rPr>
                <w:bCs/>
              </w:rPr>
            </w:pPr>
            <w:r>
              <w:rPr>
                <w:rFonts w:hint="eastAsia"/>
                <w:bCs/>
              </w:rPr>
              <w:t>教师</w:t>
            </w:r>
            <w:r w:rsidR="00F1593E">
              <w:rPr>
                <w:rFonts w:hint="eastAsia"/>
                <w:bCs/>
              </w:rPr>
              <w:t>可以删除自己任课课程的题目，系统提示删除成功。</w:t>
            </w:r>
          </w:p>
          <w:p w:rsidR="00604B77" w:rsidRDefault="00E5748E" w:rsidP="00ED38CA">
            <w:pPr>
              <w:ind w:firstLineChars="200" w:firstLine="420"/>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9" w:name="_Toc12519333"/>
      <w:r w:rsidRPr="00D664DC">
        <w:rPr>
          <w:rFonts w:asciiTheme="minorHAnsi" w:eastAsiaTheme="minorHAnsi" w:hAnsiTheme="minorHAnsi" w:hint="eastAsia"/>
        </w:rPr>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29"/>
    </w:p>
    <w:p w:rsidR="00604B77" w:rsidRDefault="00F1593E">
      <w:pPr>
        <w:pStyle w:val="3"/>
      </w:pPr>
      <w:bookmarkStart w:id="30" w:name="_Toc12519334"/>
      <w:r>
        <w:rPr>
          <w:rFonts w:hint="eastAsia"/>
        </w:rPr>
        <w:t>3.5.1 描述</w:t>
      </w:r>
      <w:bookmarkEnd w:id="3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1" w:name="_Toc12519335"/>
      <w:r>
        <w:rPr>
          <w:rFonts w:hint="eastAsia"/>
        </w:rPr>
        <w:t>3.</w:t>
      </w:r>
      <w:r>
        <w:t>5</w:t>
      </w:r>
      <w:r>
        <w:rPr>
          <w:rFonts w:hint="eastAsia"/>
        </w:rPr>
        <w:t>.2 功能性需求</w:t>
      </w:r>
      <w:bookmarkEnd w:id="3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2"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2"/>
    </w:p>
    <w:p w:rsidR="00604B77" w:rsidRDefault="00F1593E">
      <w:pPr>
        <w:pStyle w:val="3"/>
      </w:pPr>
      <w:bookmarkStart w:id="33" w:name="_Toc12519337"/>
      <w:r>
        <w:rPr>
          <w:rFonts w:hint="eastAsia"/>
        </w:rPr>
        <w:t>3.</w:t>
      </w:r>
      <w:r>
        <w:t>6</w:t>
      </w:r>
      <w:r>
        <w:rPr>
          <w:rFonts w:hint="eastAsia"/>
        </w:rPr>
        <w:t>.1 描述</w:t>
      </w:r>
      <w:bookmarkEnd w:id="33"/>
    </w:p>
    <w:p w:rsidR="00D664DC" w:rsidRDefault="00D664DC" w:rsidP="00D664DC"/>
    <w:p w:rsidR="00D664DC" w:rsidRPr="00D664DC" w:rsidRDefault="00D664DC" w:rsidP="00D664DC">
      <w:pPr>
        <w:rPr>
          <w:rFonts w:hint="eastAsia"/>
        </w:rPr>
      </w:pPr>
      <w:bookmarkStart w:id="34" w:name="_GoBack"/>
      <w:bookmarkEnd w:id="34"/>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w:t>
            </w:r>
            <w:r>
              <w:rPr>
                <w:rFonts w:hint="eastAsia"/>
                <w:bCs/>
              </w:rPr>
              <w:lastRenderedPageBreak/>
              <w:t>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w:t>
            </w:r>
            <w:r>
              <w:rPr>
                <w:rFonts w:hint="eastAsia"/>
                <w:bCs/>
              </w:rPr>
              <w:lastRenderedPageBreak/>
              <w:t>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rsidP="00EC267C">
            <w:pPr>
              <w:ind w:firstLineChars="200" w:firstLine="420"/>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rsidP="00EC267C">
            <w:pPr>
              <w:ind w:firstLineChars="200" w:firstLine="420"/>
              <w:rPr>
                <w:bCs/>
              </w:rPr>
            </w:pPr>
            <w:r>
              <w:rPr>
                <w:rFonts w:hint="eastAsia"/>
                <w:bCs/>
              </w:rPr>
              <w:t>管理员可以删除某个学院。</w:t>
            </w:r>
          </w:p>
          <w:p w:rsidR="00604B77" w:rsidRDefault="00F1593E" w:rsidP="00EC267C">
            <w:pPr>
              <w:ind w:firstLineChars="200" w:firstLine="420"/>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lastRenderedPageBreak/>
              <w:t xml:space="preserve">      .Alter:</w:t>
            </w:r>
          </w:p>
        </w:tc>
        <w:tc>
          <w:tcPr>
            <w:tcW w:w="6174" w:type="dxa"/>
          </w:tcPr>
          <w:p w:rsidR="008B7B89" w:rsidRDefault="008B7B89" w:rsidP="00032763">
            <w:pPr>
              <w:rPr>
                <w:b/>
                <w:bCs/>
              </w:rPr>
            </w:pPr>
            <w:r>
              <w:rPr>
                <w:rFonts w:hint="eastAsia"/>
                <w:b/>
                <w:bCs/>
              </w:rPr>
              <w:lastRenderedPageBreak/>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EC267C">
            <w:pPr>
              <w:ind w:firstLineChars="200" w:firstLine="420"/>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EC267C">
            <w:pPr>
              <w:ind w:firstLineChars="200" w:firstLine="420"/>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EC267C">
            <w:pPr>
              <w:ind w:firstLineChars="200" w:firstLine="420"/>
              <w:rPr>
                <w:bCs/>
              </w:rPr>
            </w:pPr>
            <w:r>
              <w:rPr>
                <w:rFonts w:hint="eastAsia"/>
                <w:bCs/>
              </w:rPr>
              <w:t>管理员可以删除某个</w:t>
            </w:r>
            <w:r w:rsidR="00931C02">
              <w:rPr>
                <w:rFonts w:hint="eastAsia"/>
                <w:bCs/>
              </w:rPr>
              <w:t>专业</w:t>
            </w:r>
            <w:r>
              <w:rPr>
                <w:rFonts w:hint="eastAsia"/>
                <w:bCs/>
              </w:rPr>
              <w:t>。</w:t>
            </w:r>
          </w:p>
          <w:p w:rsidR="008B7B89" w:rsidRDefault="008B7B89" w:rsidP="00EC267C">
            <w:pPr>
              <w:ind w:firstLineChars="200" w:firstLine="420"/>
              <w:rPr>
                <w:bCs/>
              </w:rPr>
            </w:pPr>
            <w:r>
              <w:rPr>
                <w:rFonts w:hint="eastAsia"/>
                <w:bCs/>
              </w:rPr>
              <w:lastRenderedPageBreak/>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Pr>
        <w:rPr>
          <w:rFonts w:hint="eastAsia"/>
        </w:rPr>
      </w:pPr>
    </w:p>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rsidP="00EC267C">
            <w:pPr>
              <w:ind w:firstLineChars="200" w:firstLine="420"/>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lastRenderedPageBreak/>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lastRenderedPageBreak/>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rsidP="00EC267C">
            <w:pPr>
              <w:ind w:firstLineChars="200" w:firstLine="420"/>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rsidP="00EC267C">
            <w:pPr>
              <w:ind w:firstLineChars="200" w:firstLine="420"/>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rsidP="00EC267C">
            <w:pPr>
              <w:ind w:firstLineChars="200" w:firstLine="420"/>
              <w:rPr>
                <w:bCs/>
              </w:rPr>
            </w:pPr>
            <w:r>
              <w:rPr>
                <w:rFonts w:hint="eastAsia"/>
                <w:bCs/>
              </w:rPr>
              <w:t>管理员可以删除某个</w:t>
            </w:r>
            <w:r w:rsidR="00E5748E">
              <w:rPr>
                <w:rFonts w:hint="eastAsia"/>
                <w:bCs/>
              </w:rPr>
              <w:t>教师</w:t>
            </w:r>
            <w:r>
              <w:rPr>
                <w:rFonts w:hint="eastAsia"/>
                <w:bCs/>
              </w:rPr>
              <w:t>或学生账号。</w:t>
            </w:r>
          </w:p>
          <w:p w:rsidR="00604B77" w:rsidRDefault="00F1593E" w:rsidP="00EC267C">
            <w:pPr>
              <w:ind w:firstLineChars="200" w:firstLine="420"/>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943CA5">
      <w:pPr>
        <w:jc w:val="center"/>
        <w:rPr>
          <w:rFonts w:ascii="华文仿宋" w:eastAsia="华文仿宋" w:hAnsi="华文仿宋"/>
        </w:rPr>
      </w:pPr>
      <w:r>
        <w:rPr>
          <w:rFonts w:ascii="华文仿宋" w:eastAsia="华文仿宋" w:hAnsi="华文仿宋" w:hint="eastAsia"/>
        </w:rPr>
        <w:t>图2-</w:t>
      </w:r>
      <w:r>
        <w:rPr>
          <w:rFonts w:ascii="华文仿宋" w:eastAsia="华文仿宋" w:hAnsi="华文仿宋"/>
        </w:rPr>
        <w:t>1</w:t>
      </w:r>
      <w:r w:rsidR="00EA4A05">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C9E" w:rsidRDefault="00385C9E" w:rsidP="00D664DC">
      <w:r>
        <w:separator/>
      </w:r>
    </w:p>
  </w:endnote>
  <w:endnote w:type="continuationSeparator" w:id="0">
    <w:p w:rsidR="00385C9E" w:rsidRDefault="00385C9E"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C9E" w:rsidRDefault="00385C9E" w:rsidP="00D664DC">
      <w:r>
        <w:separator/>
      </w:r>
    </w:p>
  </w:footnote>
  <w:footnote w:type="continuationSeparator" w:id="0">
    <w:p w:rsidR="00385C9E" w:rsidRDefault="00385C9E"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1E71"/>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85C9E"/>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0DCF"/>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13C50"/>
    <w:rsid w:val="0073441E"/>
    <w:rsid w:val="00740259"/>
    <w:rsid w:val="00751576"/>
    <w:rsid w:val="00752E75"/>
    <w:rsid w:val="0075616B"/>
    <w:rsid w:val="00763EA0"/>
    <w:rsid w:val="007762D5"/>
    <w:rsid w:val="0077794D"/>
    <w:rsid w:val="0078048D"/>
    <w:rsid w:val="00781281"/>
    <w:rsid w:val="007916C1"/>
    <w:rsid w:val="00795D72"/>
    <w:rsid w:val="007A709D"/>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43CA5"/>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16F66"/>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267C"/>
    <w:rsid w:val="00EC45DC"/>
    <w:rsid w:val="00EC5A4E"/>
    <w:rsid w:val="00ED36A2"/>
    <w:rsid w:val="00ED38CA"/>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942F"/>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E9C27-ABD7-4F80-A313-E08EB4C3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18</cp:revision>
  <dcterms:created xsi:type="dcterms:W3CDTF">2019-06-28T01:43:00Z</dcterms:created>
  <dcterms:modified xsi:type="dcterms:W3CDTF">2019-07-04T07:20:00Z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