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31E3FC7">
      <w:pPr>
        <w:adjustRightInd w:val="0"/>
        <w:snapToGrid w:val="0"/>
        <w:spacing w:line="360" w:lineRule="auto"/>
        <w:jc w:val="center"/>
        <w:rPr>
          <w:rFonts w:hint="eastAsia" w:ascii="方正小标宋简体" w:eastAsia="方正小标宋简体"/>
          <w:sz w:val="44"/>
          <w:szCs w:val="44"/>
        </w:rPr>
      </w:pPr>
      <w:r>
        <w:rPr>
          <w:rFonts w:ascii="方正小标宋简体" w:eastAsia="方正小标宋简体"/>
          <w:sz w:val="44"/>
          <w:szCs w:val="44"/>
        </w:rPr>
        <w:pict>
          <v:shape id="_x0000_i1025" o:spt="75" type="#_x0000_t75" style="height:92.25pt;width:299.2pt;" filled="f" o:preferrelative="t" stroked="f" coordsize="21600,21600">
            <v:path/>
            <v:fill on="f" focussize="0,0"/>
            <v:stroke on="f" joinstyle="miter"/>
            <v:imagedata r:id="rId7" o:title=""/>
            <o:lock v:ext="edit" aspectratio="t"/>
            <w10:wrap type="none"/>
            <w10:anchorlock/>
          </v:shape>
        </w:pict>
      </w:r>
    </w:p>
    <w:p w14:paraId="5A817189">
      <w:pPr>
        <w:adjustRightInd w:val="0"/>
        <w:snapToGrid w:val="0"/>
        <w:spacing w:line="360" w:lineRule="auto"/>
        <w:jc w:val="center"/>
        <w:rPr>
          <w:rFonts w:ascii="方正小标宋简体" w:eastAsia="方正小标宋简体"/>
          <w:sz w:val="32"/>
          <w:szCs w:val="32"/>
        </w:rPr>
      </w:pPr>
    </w:p>
    <w:p w14:paraId="32ED701C">
      <w:pPr>
        <w:adjustRightInd w:val="0"/>
        <w:snapToGrid w:val="0"/>
        <w:spacing w:line="360" w:lineRule="auto"/>
        <w:jc w:val="center"/>
        <w:rPr>
          <w:rFonts w:hint="eastAsia" w:ascii="黑体" w:hAnsi="黑体" w:eastAsia="黑体"/>
          <w:sz w:val="52"/>
          <w:szCs w:val="52"/>
        </w:rPr>
      </w:pPr>
      <w:bookmarkStart w:id="0" w:name="_Hlk150511077"/>
      <w:r>
        <w:rPr>
          <w:rFonts w:hint="eastAsia" w:ascii="黑体" w:hAnsi="黑体" w:eastAsia="黑体"/>
          <w:sz w:val="52"/>
          <w:szCs w:val="52"/>
        </w:rPr>
        <w:t>研究生开题报告</w:t>
      </w:r>
    </w:p>
    <w:bookmarkEnd w:id="0"/>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14"/>
        <w:gridCol w:w="4151"/>
      </w:tblGrid>
      <w:tr w14:paraId="01BD33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4CCDD72C">
            <w:pPr>
              <w:jc w:val="right"/>
              <w:rPr>
                <w:rFonts w:hint="eastAsia" w:ascii="仿宋" w:hAnsi="仿宋" w:eastAsia="仿宋"/>
                <w:b/>
                <w:bCs/>
                <w:sz w:val="30"/>
                <w:szCs w:val="30"/>
              </w:rPr>
            </w:pPr>
            <w:r>
              <w:rPr>
                <w:rFonts w:hint="eastAsia" w:ascii="仿宋" w:hAnsi="仿宋" w:eastAsia="仿宋"/>
                <w:b/>
                <w:bCs/>
                <w:sz w:val="30"/>
                <w:szCs w:val="30"/>
              </w:rPr>
              <w:t>报告题目：</w:t>
            </w:r>
          </w:p>
        </w:tc>
        <w:tc>
          <w:tcPr>
            <w:tcW w:w="4151" w:type="dxa"/>
            <w:tcBorders>
              <w:top w:val="nil"/>
              <w:left w:val="nil"/>
              <w:right w:val="nil"/>
            </w:tcBorders>
          </w:tcPr>
          <w:p w14:paraId="0FC488B5">
            <w:pPr>
              <w:jc w:val="center"/>
              <w:rPr>
                <w:rFonts w:hint="eastAsia" w:ascii="仿宋" w:hAnsi="仿宋" w:eastAsia="仿宋"/>
                <w:sz w:val="30"/>
                <w:szCs w:val="30"/>
              </w:rPr>
            </w:pPr>
            <w:r>
              <w:rPr>
                <w:rFonts w:hint="eastAsia" w:ascii="仿宋" w:hAnsi="仿宋" w:eastAsia="仿宋"/>
                <w:sz w:val="30"/>
                <w:szCs w:val="30"/>
              </w:rPr>
              <w:t>多目标优化的半导体后端制造生产排程研究</w:t>
            </w:r>
          </w:p>
        </w:tc>
      </w:tr>
      <w:tr w14:paraId="73C5FD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526B258E">
            <w:pPr>
              <w:jc w:val="right"/>
              <w:rPr>
                <w:rFonts w:hint="eastAsia" w:ascii="仿宋" w:hAnsi="仿宋" w:eastAsia="仿宋"/>
                <w:b/>
                <w:bCs/>
                <w:sz w:val="30"/>
                <w:szCs w:val="30"/>
              </w:rPr>
            </w:pPr>
            <w:r>
              <w:rPr>
                <w:rFonts w:hint="eastAsia" w:ascii="仿宋" w:hAnsi="仿宋" w:eastAsia="仿宋"/>
                <w:b/>
                <w:bCs/>
                <w:sz w:val="30"/>
                <w:szCs w:val="30"/>
              </w:rPr>
              <w:t>姓    名：</w:t>
            </w:r>
          </w:p>
        </w:tc>
        <w:tc>
          <w:tcPr>
            <w:tcW w:w="4151" w:type="dxa"/>
            <w:tcBorders>
              <w:left w:val="nil"/>
              <w:right w:val="nil"/>
            </w:tcBorders>
          </w:tcPr>
          <w:p w14:paraId="738C9892">
            <w:pPr>
              <w:jc w:val="center"/>
              <w:rPr>
                <w:rFonts w:hint="eastAsia" w:ascii="仿宋" w:hAnsi="仿宋" w:eastAsia="仿宋"/>
                <w:sz w:val="30"/>
                <w:szCs w:val="30"/>
              </w:rPr>
            </w:pPr>
            <w:r>
              <w:rPr>
                <w:rFonts w:hint="eastAsia" w:ascii="仿宋" w:hAnsi="仿宋" w:eastAsia="仿宋"/>
                <w:sz w:val="30"/>
                <w:szCs w:val="30"/>
              </w:rPr>
              <w:t>喻炫琪</w:t>
            </w:r>
          </w:p>
        </w:tc>
      </w:tr>
      <w:tr w14:paraId="4374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0DA160DE">
            <w:pPr>
              <w:jc w:val="right"/>
              <w:rPr>
                <w:rFonts w:ascii="仿宋" w:hAnsi="仿宋" w:eastAsia="仿宋"/>
                <w:b/>
                <w:bCs/>
                <w:sz w:val="30"/>
                <w:szCs w:val="30"/>
                <w:lang w:eastAsia="zh-Hans"/>
              </w:rPr>
            </w:pPr>
            <w:r>
              <w:rPr>
                <w:rFonts w:hint="eastAsia" w:ascii="仿宋" w:hAnsi="仿宋" w:eastAsia="仿宋"/>
                <w:b/>
                <w:bCs/>
                <w:sz w:val="30"/>
                <w:szCs w:val="30"/>
              </w:rPr>
              <w:t>学    号：</w:t>
            </w:r>
          </w:p>
        </w:tc>
        <w:tc>
          <w:tcPr>
            <w:tcW w:w="4151" w:type="dxa"/>
            <w:tcBorders>
              <w:left w:val="nil"/>
              <w:right w:val="nil"/>
            </w:tcBorders>
          </w:tcPr>
          <w:p w14:paraId="030DCCBD">
            <w:pPr>
              <w:jc w:val="center"/>
              <w:rPr>
                <w:rFonts w:ascii="仿宋" w:hAnsi="仿宋" w:eastAsia="仿宋"/>
                <w:sz w:val="30"/>
                <w:szCs w:val="30"/>
              </w:rPr>
            </w:pPr>
            <w:r>
              <w:rPr>
                <w:rFonts w:hint="eastAsia" w:ascii="仿宋" w:hAnsi="仿宋" w:eastAsia="仿宋"/>
                <w:sz w:val="30"/>
                <w:szCs w:val="30"/>
              </w:rPr>
              <w:t>2120253828</w:t>
            </w:r>
          </w:p>
        </w:tc>
      </w:tr>
      <w:tr w14:paraId="588939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5A53FE9E">
            <w:pPr>
              <w:jc w:val="right"/>
              <w:rPr>
                <w:rFonts w:hint="eastAsia" w:ascii="仿宋" w:hAnsi="仿宋" w:eastAsia="仿宋"/>
                <w:b/>
                <w:bCs/>
                <w:sz w:val="30"/>
                <w:szCs w:val="30"/>
              </w:rPr>
            </w:pPr>
            <w:r>
              <w:rPr>
                <w:rFonts w:hint="eastAsia" w:ascii="仿宋" w:hAnsi="仿宋" w:eastAsia="仿宋"/>
                <w:b/>
                <w:bCs/>
                <w:sz w:val="30"/>
                <w:szCs w:val="30"/>
              </w:rPr>
              <w:t>培养单位：</w:t>
            </w:r>
          </w:p>
        </w:tc>
        <w:tc>
          <w:tcPr>
            <w:tcW w:w="4151" w:type="dxa"/>
            <w:tcBorders>
              <w:left w:val="nil"/>
              <w:right w:val="nil"/>
            </w:tcBorders>
          </w:tcPr>
          <w:p w14:paraId="635BEC68">
            <w:pPr>
              <w:jc w:val="center"/>
              <w:rPr>
                <w:rFonts w:ascii="仿宋" w:hAnsi="仿宋" w:eastAsia="仿宋"/>
                <w:sz w:val="30"/>
                <w:szCs w:val="30"/>
              </w:rPr>
            </w:pPr>
            <w:r>
              <w:rPr>
                <w:rFonts w:hint="eastAsia" w:ascii="仿宋" w:hAnsi="仿宋" w:eastAsia="仿宋"/>
                <w:sz w:val="30"/>
                <w:szCs w:val="30"/>
              </w:rPr>
              <w:t>南开大学商学院</w:t>
            </w:r>
          </w:p>
        </w:tc>
      </w:tr>
      <w:tr w14:paraId="715862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235DCD49">
            <w:pPr>
              <w:jc w:val="right"/>
              <w:rPr>
                <w:rFonts w:hint="eastAsia" w:ascii="仿宋" w:hAnsi="仿宋" w:eastAsia="仿宋"/>
                <w:b/>
                <w:bCs/>
                <w:sz w:val="30"/>
                <w:szCs w:val="30"/>
                <w:lang w:eastAsia="zh-Hans"/>
              </w:rPr>
            </w:pPr>
            <w:r>
              <w:rPr>
                <w:rFonts w:hint="eastAsia" w:ascii="仿宋" w:hAnsi="仿宋" w:eastAsia="仿宋"/>
                <w:b/>
                <w:bCs/>
                <w:sz w:val="30"/>
                <w:szCs w:val="30"/>
                <w:lang w:eastAsia="zh-Hans"/>
              </w:rPr>
              <w:t>专业名称：</w:t>
            </w:r>
          </w:p>
        </w:tc>
        <w:tc>
          <w:tcPr>
            <w:tcW w:w="4151" w:type="dxa"/>
            <w:tcBorders>
              <w:left w:val="nil"/>
              <w:right w:val="nil"/>
            </w:tcBorders>
            <w:vAlign w:val="center"/>
          </w:tcPr>
          <w:p w14:paraId="60993A24">
            <w:pPr>
              <w:jc w:val="center"/>
              <w:rPr>
                <w:rFonts w:hint="eastAsia" w:ascii="楷体" w:hAnsi="楷体" w:eastAsia="楷体"/>
                <w:sz w:val="30"/>
                <w:szCs w:val="30"/>
              </w:rPr>
            </w:pPr>
            <w:r>
              <w:rPr>
                <w:rFonts w:hint="eastAsia" w:ascii="楷体" w:hAnsi="楷体" w:eastAsia="楷体"/>
                <w:sz w:val="30"/>
                <w:szCs w:val="30"/>
              </w:rPr>
              <w:t>管理科学与工程</w:t>
            </w:r>
          </w:p>
        </w:tc>
      </w:tr>
      <w:tr w14:paraId="31CC96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66B47B8E">
            <w:pPr>
              <w:jc w:val="right"/>
              <w:rPr>
                <w:rFonts w:hint="eastAsia" w:ascii="仿宋" w:hAnsi="仿宋" w:eastAsia="仿宋"/>
                <w:b/>
                <w:bCs/>
                <w:sz w:val="30"/>
                <w:szCs w:val="30"/>
              </w:rPr>
            </w:pPr>
            <w:r>
              <w:rPr>
                <w:rFonts w:hint="eastAsia" w:ascii="仿宋" w:hAnsi="仿宋" w:eastAsia="仿宋"/>
                <w:b/>
                <w:bCs/>
                <w:sz w:val="30"/>
                <w:szCs w:val="30"/>
              </w:rPr>
              <w:t>学位类别：</w:t>
            </w:r>
          </w:p>
        </w:tc>
        <w:tc>
          <w:tcPr>
            <w:tcW w:w="4151" w:type="dxa"/>
            <w:tcBorders>
              <w:left w:val="nil"/>
              <w:right w:val="nil"/>
            </w:tcBorders>
            <w:vAlign w:val="center"/>
          </w:tcPr>
          <w:p w14:paraId="34F4E39C">
            <w:pPr>
              <w:jc w:val="center"/>
              <w:rPr>
                <w:rFonts w:hint="eastAsia" w:ascii="楷体" w:hAnsi="楷体" w:eastAsia="楷体"/>
                <w:sz w:val="30"/>
                <w:szCs w:val="30"/>
              </w:rPr>
            </w:pPr>
            <w:r>
              <w:rPr>
                <w:rFonts w:hint="eastAsia" w:ascii="楷体" w:hAnsi="楷体" w:eastAsia="楷体"/>
                <w:sz w:val="30"/>
                <w:szCs w:val="30"/>
              </w:rPr>
              <w:t>管理学硕士</w:t>
            </w:r>
          </w:p>
        </w:tc>
      </w:tr>
      <w:tr w14:paraId="7905B1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10A98F78">
            <w:pPr>
              <w:jc w:val="right"/>
              <w:rPr>
                <w:rFonts w:hint="eastAsia" w:ascii="仿宋" w:hAnsi="仿宋" w:eastAsia="仿宋"/>
                <w:b/>
                <w:bCs/>
                <w:sz w:val="30"/>
                <w:szCs w:val="30"/>
              </w:rPr>
            </w:pPr>
            <w:r>
              <w:rPr>
                <w:rFonts w:hint="eastAsia" w:ascii="仿宋" w:hAnsi="仿宋" w:eastAsia="仿宋"/>
                <w:b/>
                <w:bCs/>
                <w:sz w:val="30"/>
                <w:szCs w:val="30"/>
              </w:rPr>
              <w:t>校内导师：</w:t>
            </w:r>
          </w:p>
        </w:tc>
        <w:tc>
          <w:tcPr>
            <w:tcW w:w="4151" w:type="dxa"/>
            <w:tcBorders>
              <w:left w:val="nil"/>
              <w:right w:val="nil"/>
            </w:tcBorders>
          </w:tcPr>
          <w:p w14:paraId="53F1A9A3">
            <w:pPr>
              <w:jc w:val="center"/>
              <w:rPr>
                <w:rFonts w:ascii="仿宋" w:hAnsi="仿宋" w:eastAsia="仿宋"/>
                <w:sz w:val="30"/>
                <w:szCs w:val="30"/>
              </w:rPr>
            </w:pPr>
            <w:r>
              <w:rPr>
                <w:rFonts w:hint="eastAsia" w:ascii="仿宋" w:hAnsi="仿宋" w:eastAsia="仿宋"/>
                <w:sz w:val="30"/>
                <w:szCs w:val="30"/>
              </w:rPr>
              <w:t>王谦</w:t>
            </w:r>
          </w:p>
        </w:tc>
      </w:tr>
      <w:tr w14:paraId="798995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6A69DDF6">
            <w:pPr>
              <w:jc w:val="right"/>
              <w:rPr>
                <w:rFonts w:hint="eastAsia" w:ascii="仿宋" w:hAnsi="仿宋" w:eastAsia="仿宋"/>
                <w:b/>
                <w:bCs/>
                <w:sz w:val="30"/>
                <w:szCs w:val="30"/>
              </w:rPr>
            </w:pPr>
            <w:r>
              <w:rPr>
                <w:rFonts w:hint="eastAsia" w:ascii="仿宋" w:hAnsi="仿宋" w:eastAsia="仿宋"/>
                <w:b/>
                <w:bCs/>
                <w:sz w:val="30"/>
                <w:szCs w:val="30"/>
              </w:rPr>
              <w:t>校外导师：</w:t>
            </w:r>
          </w:p>
        </w:tc>
        <w:tc>
          <w:tcPr>
            <w:tcW w:w="4151" w:type="dxa"/>
            <w:tcBorders>
              <w:left w:val="nil"/>
              <w:right w:val="nil"/>
            </w:tcBorders>
          </w:tcPr>
          <w:p w14:paraId="7A751A94">
            <w:pPr>
              <w:jc w:val="center"/>
              <w:rPr>
                <w:rFonts w:hint="eastAsia" w:ascii="仿宋" w:hAnsi="仿宋" w:eastAsia="仿宋"/>
                <w:sz w:val="30"/>
                <w:szCs w:val="30"/>
              </w:rPr>
            </w:pPr>
          </w:p>
        </w:tc>
      </w:tr>
      <w:tr w14:paraId="3FC6A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2E357127">
            <w:pPr>
              <w:jc w:val="right"/>
              <w:rPr>
                <w:rFonts w:hint="eastAsia" w:ascii="仿宋" w:hAnsi="仿宋" w:eastAsia="仿宋"/>
                <w:b/>
                <w:bCs/>
                <w:sz w:val="30"/>
                <w:szCs w:val="30"/>
              </w:rPr>
            </w:pPr>
            <w:r>
              <w:rPr>
                <w:rFonts w:hint="eastAsia" w:ascii="仿宋" w:hAnsi="仿宋" w:eastAsia="仿宋"/>
                <w:b/>
                <w:bCs/>
                <w:sz w:val="30"/>
                <w:szCs w:val="30"/>
              </w:rPr>
              <w:t>研究方向：</w:t>
            </w:r>
          </w:p>
        </w:tc>
        <w:tc>
          <w:tcPr>
            <w:tcW w:w="4151" w:type="dxa"/>
            <w:tcBorders>
              <w:left w:val="nil"/>
              <w:right w:val="nil"/>
            </w:tcBorders>
            <w:vAlign w:val="center"/>
          </w:tcPr>
          <w:p w14:paraId="5342ABD3">
            <w:pPr>
              <w:jc w:val="center"/>
              <w:rPr>
                <w:rFonts w:ascii="楷体" w:hAnsi="楷体" w:eastAsia="楷体"/>
                <w:sz w:val="30"/>
                <w:szCs w:val="30"/>
              </w:rPr>
            </w:pPr>
            <w:r>
              <w:rPr>
                <w:rFonts w:hint="eastAsia" w:ascii="楷体" w:hAnsi="楷体" w:eastAsia="楷体"/>
                <w:sz w:val="30"/>
                <w:szCs w:val="30"/>
              </w:rPr>
              <w:t>系统建模与仿真</w:t>
            </w:r>
          </w:p>
        </w:tc>
      </w:tr>
      <w:tr w14:paraId="6514AE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jc w:val="center"/>
        </w:trPr>
        <w:tc>
          <w:tcPr>
            <w:tcW w:w="1814" w:type="dxa"/>
            <w:tcBorders>
              <w:top w:val="nil"/>
              <w:left w:val="nil"/>
              <w:bottom w:val="nil"/>
              <w:right w:val="nil"/>
            </w:tcBorders>
            <w:vAlign w:val="center"/>
          </w:tcPr>
          <w:p w14:paraId="42551B6F">
            <w:pPr>
              <w:jc w:val="right"/>
              <w:rPr>
                <w:rFonts w:hint="eastAsia" w:ascii="仿宋" w:hAnsi="仿宋" w:eastAsia="仿宋"/>
                <w:b/>
                <w:bCs/>
                <w:sz w:val="30"/>
                <w:szCs w:val="30"/>
              </w:rPr>
            </w:pPr>
            <w:r>
              <w:rPr>
                <w:rFonts w:hint="eastAsia" w:ascii="仿宋" w:hAnsi="仿宋" w:eastAsia="仿宋"/>
                <w:b/>
                <w:bCs/>
                <w:sz w:val="30"/>
                <w:szCs w:val="30"/>
              </w:rPr>
              <w:t>报告日期：</w:t>
            </w:r>
          </w:p>
        </w:tc>
        <w:tc>
          <w:tcPr>
            <w:tcW w:w="4151" w:type="dxa"/>
            <w:tcBorders>
              <w:left w:val="nil"/>
              <w:right w:val="nil"/>
            </w:tcBorders>
          </w:tcPr>
          <w:p w14:paraId="560A52BB">
            <w:pPr>
              <w:jc w:val="center"/>
            </w:pPr>
            <w:r>
              <w:rPr>
                <w:rFonts w:hint="eastAsia" w:ascii="仿宋" w:hAnsi="仿宋" w:eastAsia="仿宋"/>
                <w:sz w:val="30"/>
                <w:szCs w:val="30"/>
              </w:rPr>
              <w:t>2026.07.03</w:t>
            </w:r>
          </w:p>
        </w:tc>
      </w:tr>
    </w:tbl>
    <w:p w14:paraId="658559CE">
      <w:pPr>
        <w:rPr>
          <w:sz w:val="28"/>
          <w:szCs w:val="36"/>
        </w:rPr>
      </w:pPr>
    </w:p>
    <w:p w14:paraId="47D327E6">
      <w:pPr>
        <w:pStyle w:val="2"/>
        <w:rPr>
          <w:rFonts w:hint="eastAsia"/>
        </w:rPr>
      </w:pPr>
    </w:p>
    <w:p w14:paraId="0AAE8A42">
      <w:pPr>
        <w:spacing w:line="320" w:lineRule="exact"/>
        <w:jc w:val="center"/>
        <w:rPr>
          <w:rFonts w:eastAsia="仿宋"/>
          <w:sz w:val="28"/>
          <w:szCs w:val="28"/>
        </w:rPr>
      </w:pPr>
      <w:r>
        <w:rPr>
          <w:rFonts w:eastAsia="仿宋"/>
          <w:sz w:val="28"/>
          <w:szCs w:val="28"/>
        </w:rPr>
        <w:t>南开大学研究生院制</w:t>
      </w:r>
    </w:p>
    <w:p w14:paraId="64FAC870">
      <w:pPr>
        <w:spacing w:line="320" w:lineRule="exact"/>
        <w:jc w:val="center"/>
        <w:rPr>
          <w:rFonts w:hint="eastAsia"/>
          <w:sz w:val="24"/>
        </w:rPr>
      </w:pPr>
      <w:r>
        <w:rPr>
          <w:rFonts w:eastAsia="仿宋"/>
          <w:sz w:val="28"/>
          <w:szCs w:val="28"/>
        </w:rPr>
        <w:t>（2024年）</w:t>
      </w:r>
      <w:r>
        <w:br w:type="page"/>
      </w:r>
      <w:r>
        <w:rPr>
          <w:rFonts w:hint="eastAsia" w:ascii="黑体" w:hAnsi="黑体" w:eastAsia="黑体"/>
          <w:sz w:val="32"/>
          <w:szCs w:val="32"/>
        </w:rPr>
        <w:t>填写说明</w:t>
      </w:r>
    </w:p>
    <w:p w14:paraId="03E84EF4">
      <w:pPr>
        <w:tabs>
          <w:tab w:val="left" w:pos="180"/>
          <w:tab w:val="left" w:pos="540"/>
        </w:tabs>
        <w:spacing w:line="480" w:lineRule="exact"/>
        <w:rPr>
          <w:rFonts w:ascii="仿宋" w:hAnsi="仿宋" w:eastAsia="仿宋" w:cs="仿宋_GB2312"/>
          <w:sz w:val="24"/>
        </w:rPr>
      </w:pPr>
      <w:r>
        <w:rPr>
          <w:rFonts w:hint="eastAsia" w:ascii="仿宋" w:hAnsi="仿宋" w:eastAsia="仿宋" w:cs="仿宋_GB2312"/>
          <w:sz w:val="24"/>
        </w:rPr>
        <w:t>一、本表内容须真实、完整、准确。</w:t>
      </w:r>
    </w:p>
    <w:p w14:paraId="02298717">
      <w:pPr>
        <w:tabs>
          <w:tab w:val="left" w:pos="180"/>
          <w:tab w:val="left" w:pos="540"/>
        </w:tabs>
        <w:spacing w:line="480" w:lineRule="exact"/>
        <w:rPr>
          <w:rFonts w:hint="eastAsia" w:ascii="仿宋" w:hAnsi="仿宋" w:eastAsia="仿宋" w:cs="仿宋_GB2312"/>
          <w:sz w:val="24"/>
        </w:rPr>
      </w:pPr>
      <w:r>
        <w:rPr>
          <w:rFonts w:hint="eastAsia" w:ascii="仿宋" w:hAnsi="仿宋" w:eastAsia="仿宋" w:cs="仿宋_GB2312"/>
          <w:sz w:val="24"/>
        </w:rPr>
        <w:t>二、本校适用于学术学位研究生及专业学位研究生。</w:t>
      </w:r>
    </w:p>
    <w:p w14:paraId="0E30236C">
      <w:pPr>
        <w:tabs>
          <w:tab w:val="left" w:pos="180"/>
          <w:tab w:val="left" w:pos="540"/>
        </w:tabs>
        <w:spacing w:line="480" w:lineRule="exact"/>
        <w:rPr>
          <w:rFonts w:hint="eastAsia" w:ascii="仿宋" w:hAnsi="仿宋" w:eastAsia="仿宋" w:cs="仿宋_GB2312"/>
          <w:sz w:val="24"/>
        </w:rPr>
      </w:pPr>
      <w:r>
        <w:rPr>
          <w:rFonts w:hint="eastAsia" w:ascii="仿宋" w:hAnsi="仿宋" w:eastAsia="仿宋" w:cs="仿宋_GB2312"/>
          <w:sz w:val="24"/>
        </w:rPr>
        <w:t>二、</w:t>
      </w:r>
      <w:r>
        <w:rPr>
          <w:rFonts w:hint="eastAsia" w:ascii="仿宋" w:hAnsi="仿宋" w:eastAsia="仿宋" w:cs="仿宋_GB2312"/>
          <w:kern w:val="0"/>
          <w:sz w:val="24"/>
        </w:rPr>
        <w:t>“专业名称”：</w:t>
      </w:r>
      <w:r>
        <w:rPr>
          <w:rFonts w:hint="eastAsia" w:ascii="仿宋" w:hAnsi="仿宋" w:eastAsia="仿宋" w:cs="仿宋_GB2312"/>
          <w:b/>
          <w:bCs/>
          <w:kern w:val="0"/>
          <w:sz w:val="24"/>
        </w:rPr>
        <w:t>学术学位</w:t>
      </w:r>
      <w:r>
        <w:rPr>
          <w:rFonts w:hint="eastAsia" w:ascii="仿宋" w:hAnsi="仿宋" w:eastAsia="仿宋" w:cs="仿宋_GB2312"/>
          <w:kern w:val="0"/>
          <w:sz w:val="24"/>
        </w:rPr>
        <w:t>填写“一级学科/二级学科”全称；</w:t>
      </w:r>
      <w:r>
        <w:rPr>
          <w:rFonts w:hint="eastAsia" w:ascii="仿宋" w:hAnsi="仿宋" w:eastAsia="仿宋" w:cs="仿宋_GB2312"/>
          <w:b/>
          <w:bCs/>
          <w:kern w:val="0"/>
          <w:sz w:val="24"/>
        </w:rPr>
        <w:t>专业学位</w:t>
      </w:r>
      <w:r>
        <w:rPr>
          <w:rFonts w:hint="eastAsia" w:ascii="仿宋" w:hAnsi="仿宋" w:eastAsia="仿宋" w:cs="仿宋_GB2312"/>
          <w:kern w:val="0"/>
          <w:sz w:val="24"/>
        </w:rPr>
        <w:t>填写“专业学位领域”全称。</w:t>
      </w:r>
    </w:p>
    <w:p w14:paraId="67CBA433">
      <w:pPr>
        <w:tabs>
          <w:tab w:val="left" w:pos="180"/>
          <w:tab w:val="left" w:pos="540"/>
        </w:tabs>
        <w:spacing w:line="560" w:lineRule="exact"/>
        <w:rPr>
          <w:rFonts w:hint="eastAsia" w:ascii="仿宋" w:hAnsi="仿宋" w:eastAsia="仿宋" w:cs="仿宋_GB2312"/>
          <w:sz w:val="24"/>
        </w:rPr>
      </w:pPr>
      <w:r>
        <w:rPr>
          <w:rFonts w:hint="eastAsia" w:ascii="仿宋" w:hAnsi="仿宋" w:eastAsia="仿宋" w:cs="仿宋_GB2312"/>
          <w:kern w:val="0"/>
          <w:sz w:val="24"/>
        </w:rPr>
        <w:t>三、</w:t>
      </w:r>
      <w:r>
        <w:rPr>
          <w:rFonts w:hint="eastAsia" w:ascii="仿宋" w:hAnsi="仿宋" w:eastAsia="仿宋" w:cs="仿宋_GB2312"/>
          <w:sz w:val="24"/>
        </w:rPr>
        <w:t>“学位类别”：</w:t>
      </w:r>
      <w:r>
        <w:rPr>
          <w:rFonts w:hint="eastAsia" w:ascii="仿宋" w:hAnsi="仿宋" w:eastAsia="仿宋" w:cs="仿宋_GB2312"/>
          <w:b/>
          <w:bCs/>
          <w:sz w:val="24"/>
        </w:rPr>
        <w:t>学术学位</w:t>
      </w:r>
      <w:r>
        <w:rPr>
          <w:rFonts w:hint="eastAsia" w:ascii="仿宋" w:hAnsi="仿宋" w:eastAsia="仿宋" w:cs="仿宋_GB2312"/>
          <w:sz w:val="24"/>
        </w:rPr>
        <w:t>填写哲学博/硕士、经济学博/硕士、法学博/硕士、文学博/硕士、历史学博/硕士、理学博/硕士、工学博/硕士、农学博/硕士、医学博/硕士、管理学博/硕士，艺术学硕士等；</w:t>
      </w:r>
      <w:r>
        <w:rPr>
          <w:rFonts w:hint="eastAsia" w:ascii="仿宋" w:hAnsi="仿宋" w:eastAsia="仿宋" w:cs="仿宋_GB2312"/>
          <w:b/>
          <w:bCs/>
          <w:sz w:val="24"/>
        </w:rPr>
        <w:t>专业学位</w:t>
      </w:r>
      <w:r>
        <w:rPr>
          <w:rFonts w:hint="eastAsia" w:ascii="仿宋" w:hAnsi="仿宋" w:eastAsia="仿宋" w:cs="仿宋_GB2312"/>
          <w:sz w:val="24"/>
        </w:rPr>
        <w:t>填写金融硕士、应用统计硕士、税务硕士、国际商务硕士、保险硕士、法律硕士、社会工作硕士、国际中文教育硕士、应用心理硕士、翻译硕士、新闻与传播硕士、出版硕士、博物馆硕士、电子信息工程博/硕士、材料与化工工程博/硕士、资源与环境工程博/硕士、能源动力工程硕士、生物与医药工程博/硕士、农业硕士、临床医学博/硕士、口腔医学硕士、工商管理硕士、公共管理硕士、会计硕士、旅游管理硕士、图书情报硕士、工程管理硕士、艺术硕士等。</w:t>
      </w:r>
    </w:p>
    <w:p w14:paraId="0A6731B1">
      <w:pPr>
        <w:tabs>
          <w:tab w:val="left" w:pos="540"/>
        </w:tabs>
        <w:spacing w:line="560" w:lineRule="exact"/>
        <w:rPr>
          <w:rFonts w:hint="eastAsia" w:ascii="仿宋_GB2312" w:hAnsi="仿宋_GB2312" w:eastAsia="仿宋_GB2312" w:cs="仿宋_GB2312"/>
          <w:kern w:val="0"/>
          <w:sz w:val="24"/>
        </w:rPr>
      </w:pPr>
      <w:r>
        <w:rPr>
          <w:rFonts w:hint="eastAsia" w:ascii="仿宋" w:hAnsi="仿宋" w:eastAsia="仿宋" w:cs="仿宋_GB2312"/>
          <w:kern w:val="0"/>
          <w:sz w:val="24"/>
        </w:rPr>
        <w:t>四、本表以Word文档格式填写，宋体</w:t>
      </w:r>
      <w:r>
        <w:rPr>
          <w:rFonts w:hint="eastAsia" w:ascii="仿宋" w:hAnsi="仿宋" w:eastAsia="仿宋" w:cs="仿宋_GB2312"/>
          <w:kern w:val="0"/>
          <w:sz w:val="24"/>
          <w:lang w:eastAsia="zh-Hans"/>
        </w:rPr>
        <w:t>小四</w:t>
      </w:r>
      <w:r>
        <w:rPr>
          <w:rFonts w:hint="eastAsia" w:ascii="仿宋" w:hAnsi="仿宋" w:eastAsia="仿宋" w:cs="仿宋_GB2312"/>
          <w:kern w:val="0"/>
          <w:sz w:val="24"/>
        </w:rPr>
        <w:t>号字，A4纸双面打印，左侧装订，加盖专业学院公章，一式两份，</w:t>
      </w:r>
      <w:r>
        <w:rPr>
          <w:rFonts w:hint="eastAsia" w:ascii="仿宋" w:hAnsi="仿宋" w:eastAsia="仿宋" w:cs="仿宋_GB2312"/>
          <w:sz w:val="24"/>
        </w:rPr>
        <w:t>一份交培养单位存档，</w:t>
      </w:r>
      <w:r>
        <w:rPr>
          <w:rFonts w:hint="eastAsia" w:ascii="仿宋" w:hAnsi="仿宋" w:eastAsia="仿宋" w:cs="仿宋_GB2312"/>
          <w:kern w:val="0"/>
          <w:sz w:val="24"/>
        </w:rPr>
        <w:t>一份研究生本人留存。</w:t>
      </w:r>
    </w:p>
    <w:p w14:paraId="33E9FBC3">
      <w:pPr>
        <w:pStyle w:val="2"/>
        <w:sectPr>
          <w:footerReference r:id="rId3" w:type="default"/>
          <w:pgSz w:w="11906" w:h="16838"/>
          <w:pgMar w:top="2098" w:right="1474" w:bottom="1985" w:left="1588" w:header="851" w:footer="850" w:gutter="0"/>
          <w:cols w:space="720" w:num="1"/>
          <w:docGrid w:type="lines" w:linePitch="312" w:charSpace="0"/>
        </w:sect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43"/>
        <w:gridCol w:w="1240"/>
        <w:gridCol w:w="992"/>
        <w:gridCol w:w="709"/>
        <w:gridCol w:w="1275"/>
        <w:gridCol w:w="1276"/>
        <w:gridCol w:w="1536"/>
      </w:tblGrid>
      <w:tr w14:paraId="000629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843" w:type="dxa"/>
            <w:tcBorders>
              <w:top w:val="single" w:color="auto" w:sz="8" w:space="0"/>
              <w:left w:val="single" w:color="auto" w:sz="8" w:space="0"/>
            </w:tcBorders>
            <w:vAlign w:val="center"/>
          </w:tcPr>
          <w:p w14:paraId="326C44FA">
            <w:pPr>
              <w:jc w:val="center"/>
              <w:rPr>
                <w:rFonts w:hint="eastAsia" w:ascii="仿宋" w:hAnsi="仿宋" w:eastAsia="仿宋" w:cs="仿宋_GB2312"/>
                <w:sz w:val="24"/>
              </w:rPr>
            </w:pPr>
            <w:r>
              <w:rPr>
                <w:rFonts w:hint="eastAsia" w:ascii="仿宋" w:hAnsi="仿宋" w:eastAsia="仿宋" w:cs="仿宋_GB2312"/>
                <w:kern w:val="0"/>
                <w:sz w:val="32"/>
                <w:szCs w:val="32"/>
              </w:rPr>
              <w:br w:type="page"/>
            </w:r>
            <w:r>
              <w:rPr>
                <w:rFonts w:hint="eastAsia" w:ascii="仿宋" w:hAnsi="仿宋" w:eastAsia="仿宋" w:cs="仿宋_GB2312"/>
                <w:sz w:val="24"/>
              </w:rPr>
              <w:t xml:space="preserve">姓 </w:t>
            </w:r>
            <w:r>
              <w:rPr>
                <w:rFonts w:ascii="仿宋" w:hAnsi="仿宋" w:eastAsia="仿宋" w:cs="仿宋_GB2312"/>
                <w:sz w:val="24"/>
              </w:rPr>
              <w:t xml:space="preserve"> </w:t>
            </w:r>
            <w:r>
              <w:rPr>
                <w:rFonts w:hint="eastAsia" w:ascii="仿宋" w:hAnsi="仿宋" w:eastAsia="仿宋" w:cs="仿宋_GB2312"/>
                <w:sz w:val="24"/>
              </w:rPr>
              <w:t>名</w:t>
            </w:r>
          </w:p>
        </w:tc>
        <w:tc>
          <w:tcPr>
            <w:tcW w:w="2232" w:type="dxa"/>
            <w:gridSpan w:val="2"/>
            <w:tcBorders>
              <w:top w:val="single" w:color="auto" w:sz="8" w:space="0"/>
            </w:tcBorders>
            <w:vAlign w:val="center"/>
          </w:tcPr>
          <w:p w14:paraId="7E9EFC30">
            <w:pPr>
              <w:jc w:val="center"/>
              <w:rPr>
                <w:rFonts w:hint="eastAsia" w:ascii="仿宋" w:hAnsi="仿宋" w:eastAsia="仿宋" w:cs="宋体"/>
                <w:sz w:val="24"/>
              </w:rPr>
            </w:pPr>
            <w:r>
              <w:rPr>
                <w:rFonts w:hint="eastAsia" w:ascii="仿宋" w:hAnsi="仿宋" w:eastAsia="仿宋" w:cs="宋体"/>
                <w:sz w:val="24"/>
              </w:rPr>
              <w:t>喻炫琪</w:t>
            </w:r>
          </w:p>
        </w:tc>
        <w:tc>
          <w:tcPr>
            <w:tcW w:w="709" w:type="dxa"/>
            <w:tcBorders>
              <w:top w:val="single" w:color="auto" w:sz="8" w:space="0"/>
            </w:tcBorders>
            <w:vAlign w:val="center"/>
          </w:tcPr>
          <w:p w14:paraId="343DC7AE">
            <w:pPr>
              <w:jc w:val="center"/>
              <w:rPr>
                <w:rFonts w:hint="eastAsia" w:ascii="仿宋" w:hAnsi="仿宋" w:eastAsia="仿宋" w:cs="仿宋_GB2312"/>
                <w:sz w:val="24"/>
              </w:rPr>
            </w:pPr>
            <w:r>
              <w:rPr>
                <w:rFonts w:hint="eastAsia" w:ascii="仿宋" w:hAnsi="仿宋" w:eastAsia="仿宋" w:cs="仿宋_GB2312"/>
                <w:sz w:val="24"/>
              </w:rPr>
              <w:t>学号</w:t>
            </w:r>
          </w:p>
        </w:tc>
        <w:tc>
          <w:tcPr>
            <w:tcW w:w="1275" w:type="dxa"/>
            <w:tcBorders>
              <w:top w:val="single" w:color="auto" w:sz="8" w:space="0"/>
            </w:tcBorders>
            <w:vAlign w:val="center"/>
          </w:tcPr>
          <w:p w14:paraId="41223CFF">
            <w:pPr>
              <w:jc w:val="center"/>
              <w:rPr>
                <w:rFonts w:ascii="仿宋" w:hAnsi="仿宋" w:eastAsia="仿宋" w:cs="仿宋_GB2312"/>
                <w:sz w:val="24"/>
              </w:rPr>
            </w:pPr>
            <w:r>
              <w:rPr>
                <w:rFonts w:hint="eastAsia" w:ascii="仿宋" w:hAnsi="仿宋" w:eastAsia="仿宋" w:cs="仿宋_GB2312"/>
                <w:szCs w:val="21"/>
              </w:rPr>
              <w:t>2120253828</w:t>
            </w:r>
          </w:p>
        </w:tc>
        <w:tc>
          <w:tcPr>
            <w:tcW w:w="1276" w:type="dxa"/>
            <w:tcBorders>
              <w:top w:val="single" w:color="auto" w:sz="8" w:space="0"/>
              <w:right w:val="single" w:color="auto" w:sz="8" w:space="0"/>
            </w:tcBorders>
            <w:vAlign w:val="center"/>
          </w:tcPr>
          <w:p w14:paraId="598AD3DC">
            <w:pPr>
              <w:jc w:val="center"/>
              <w:rPr>
                <w:rFonts w:hint="eastAsia" w:ascii="仿宋" w:hAnsi="仿宋" w:eastAsia="仿宋" w:cs="仿宋_GB2312"/>
                <w:sz w:val="24"/>
                <w:lang w:eastAsia="zh-Hans"/>
              </w:rPr>
            </w:pPr>
            <w:r>
              <w:rPr>
                <w:rFonts w:hint="eastAsia" w:ascii="仿宋" w:hAnsi="仿宋" w:eastAsia="仿宋" w:cs="仿宋_GB2312"/>
                <w:sz w:val="24"/>
                <w:lang w:eastAsia="zh-Hans"/>
              </w:rPr>
              <w:t>入学年月</w:t>
            </w:r>
          </w:p>
        </w:tc>
        <w:tc>
          <w:tcPr>
            <w:tcW w:w="1536" w:type="dxa"/>
            <w:tcBorders>
              <w:top w:val="single" w:color="auto" w:sz="8" w:space="0"/>
              <w:right w:val="single" w:color="auto" w:sz="8" w:space="0"/>
            </w:tcBorders>
            <w:vAlign w:val="center"/>
          </w:tcPr>
          <w:p w14:paraId="3DEE74DD">
            <w:pPr>
              <w:jc w:val="center"/>
              <w:rPr>
                <w:rFonts w:ascii="仿宋" w:hAnsi="仿宋" w:eastAsia="仿宋" w:cs="仿宋_GB2312"/>
                <w:sz w:val="24"/>
              </w:rPr>
            </w:pPr>
            <w:r>
              <w:rPr>
                <w:rFonts w:hint="eastAsia" w:ascii="仿宋" w:hAnsi="仿宋" w:eastAsia="仿宋" w:cs="仿宋_GB2312"/>
                <w:sz w:val="24"/>
              </w:rPr>
              <w:t>2025年9月</w:t>
            </w:r>
          </w:p>
        </w:tc>
      </w:tr>
      <w:tr w14:paraId="1403D0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43" w:type="dxa"/>
            <w:tcBorders>
              <w:top w:val="single" w:color="auto" w:sz="8" w:space="0"/>
              <w:left w:val="single" w:color="auto" w:sz="8" w:space="0"/>
            </w:tcBorders>
            <w:vAlign w:val="center"/>
          </w:tcPr>
          <w:p w14:paraId="0768D2AB">
            <w:pPr>
              <w:jc w:val="center"/>
              <w:rPr>
                <w:rFonts w:ascii="仿宋" w:hAnsi="仿宋" w:eastAsia="仿宋" w:cs="仿宋_GB2312"/>
                <w:sz w:val="24"/>
              </w:rPr>
            </w:pPr>
            <w:r>
              <w:rPr>
                <w:rFonts w:hint="eastAsia" w:ascii="仿宋" w:hAnsi="仿宋" w:eastAsia="仿宋" w:cs="仿宋_GB2312"/>
                <w:sz w:val="24"/>
              </w:rPr>
              <w:t>一级学科</w:t>
            </w:r>
          </w:p>
          <w:p w14:paraId="5B66A4DD">
            <w:pPr>
              <w:jc w:val="center"/>
              <w:rPr>
                <w:rFonts w:hint="eastAsia" w:ascii="仿宋" w:hAnsi="仿宋" w:eastAsia="仿宋" w:cs="仿宋_GB2312"/>
                <w:sz w:val="24"/>
              </w:rPr>
            </w:pPr>
            <w:r>
              <w:rPr>
                <w:rFonts w:hint="eastAsia" w:ascii="仿宋" w:hAnsi="仿宋" w:eastAsia="仿宋" w:cs="仿宋_GB2312"/>
                <w:sz w:val="24"/>
              </w:rPr>
              <w:t>专业学位类别</w:t>
            </w:r>
          </w:p>
        </w:tc>
        <w:tc>
          <w:tcPr>
            <w:tcW w:w="2232" w:type="dxa"/>
            <w:gridSpan w:val="2"/>
            <w:tcBorders>
              <w:top w:val="single" w:color="auto" w:sz="8" w:space="0"/>
            </w:tcBorders>
            <w:vAlign w:val="center"/>
          </w:tcPr>
          <w:p w14:paraId="0BCFA95E">
            <w:pPr>
              <w:jc w:val="center"/>
              <w:rPr>
                <w:rFonts w:hint="eastAsia" w:ascii="仿宋" w:hAnsi="仿宋" w:eastAsia="仿宋" w:cs="宋体"/>
                <w:sz w:val="24"/>
              </w:rPr>
            </w:pPr>
          </w:p>
        </w:tc>
        <w:tc>
          <w:tcPr>
            <w:tcW w:w="1984" w:type="dxa"/>
            <w:gridSpan w:val="2"/>
            <w:tcBorders>
              <w:top w:val="single" w:color="auto" w:sz="8" w:space="0"/>
            </w:tcBorders>
            <w:vAlign w:val="center"/>
          </w:tcPr>
          <w:p w14:paraId="38A13ECF">
            <w:pPr>
              <w:jc w:val="center"/>
              <w:rPr>
                <w:rFonts w:ascii="仿宋" w:hAnsi="仿宋" w:eastAsia="仿宋" w:cs="仿宋_GB2312"/>
                <w:sz w:val="24"/>
              </w:rPr>
            </w:pPr>
            <w:r>
              <w:rPr>
                <w:rFonts w:hint="eastAsia" w:ascii="仿宋" w:hAnsi="仿宋" w:eastAsia="仿宋" w:cs="仿宋_GB2312"/>
                <w:sz w:val="24"/>
                <w:lang w:eastAsia="zh-Hans"/>
              </w:rPr>
              <w:t>二级学科</w:t>
            </w:r>
          </w:p>
          <w:p w14:paraId="1CF365DD">
            <w:pPr>
              <w:jc w:val="center"/>
              <w:rPr>
                <w:rFonts w:hint="eastAsia" w:ascii="仿宋" w:hAnsi="仿宋" w:eastAsia="仿宋" w:cs="仿宋_GB2312"/>
                <w:sz w:val="24"/>
                <w:lang w:eastAsia="zh-Hans"/>
              </w:rPr>
            </w:pPr>
            <w:r>
              <w:rPr>
                <w:rFonts w:hint="eastAsia" w:ascii="仿宋" w:hAnsi="仿宋" w:eastAsia="仿宋" w:cs="仿宋_GB2312"/>
                <w:sz w:val="24"/>
                <w:lang w:eastAsia="zh-Hans"/>
              </w:rPr>
              <w:t>专业学位领域</w:t>
            </w:r>
          </w:p>
        </w:tc>
        <w:tc>
          <w:tcPr>
            <w:tcW w:w="2812" w:type="dxa"/>
            <w:gridSpan w:val="2"/>
            <w:tcBorders>
              <w:top w:val="single" w:color="auto" w:sz="8" w:space="0"/>
              <w:right w:val="single" w:color="auto" w:sz="8" w:space="0"/>
            </w:tcBorders>
            <w:vAlign w:val="center"/>
          </w:tcPr>
          <w:p w14:paraId="4097A0E2">
            <w:pPr>
              <w:jc w:val="center"/>
              <w:rPr>
                <w:rFonts w:hint="eastAsia" w:ascii="仿宋" w:hAnsi="仿宋" w:eastAsia="仿宋" w:cs="仿宋_GB2312"/>
                <w:sz w:val="24"/>
              </w:rPr>
            </w:pPr>
          </w:p>
        </w:tc>
      </w:tr>
      <w:tr w14:paraId="01CC07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43" w:type="dxa"/>
            <w:tcBorders>
              <w:left w:val="single" w:color="auto" w:sz="8" w:space="0"/>
            </w:tcBorders>
            <w:vAlign w:val="center"/>
          </w:tcPr>
          <w:p w14:paraId="71637706">
            <w:pPr>
              <w:jc w:val="center"/>
              <w:rPr>
                <w:rFonts w:hint="eastAsia" w:ascii="仿宋" w:hAnsi="仿宋" w:eastAsia="仿宋" w:cs="仿宋_GB2312"/>
                <w:spacing w:val="-4"/>
                <w:sz w:val="24"/>
              </w:rPr>
            </w:pPr>
            <w:r>
              <w:rPr>
                <w:rFonts w:hint="eastAsia" w:ascii="仿宋" w:hAnsi="仿宋" w:eastAsia="仿宋" w:cs="仿宋_GB2312"/>
                <w:sz w:val="24"/>
              </w:rPr>
              <w:t>毕业设计/学位论文题目</w:t>
            </w:r>
          </w:p>
          <w:p w14:paraId="0FDA12ED">
            <w:pPr>
              <w:pStyle w:val="2"/>
              <w:jc w:val="center"/>
              <w:rPr>
                <w:rFonts w:hint="eastAsia" w:ascii="仿宋" w:hAnsi="仿宋" w:eastAsia="仿宋"/>
              </w:rPr>
            </w:pPr>
            <w:r>
              <w:rPr>
                <w:rFonts w:hint="eastAsia" w:ascii="仿宋" w:hAnsi="仿宋" w:eastAsia="仿宋"/>
                <w:sz w:val="21"/>
                <w:szCs w:val="32"/>
              </w:rPr>
              <w:t>（中英文）</w:t>
            </w:r>
          </w:p>
        </w:tc>
        <w:tc>
          <w:tcPr>
            <w:tcW w:w="7028" w:type="dxa"/>
            <w:gridSpan w:val="6"/>
            <w:tcBorders>
              <w:right w:val="single" w:color="auto" w:sz="8" w:space="0"/>
            </w:tcBorders>
            <w:vAlign w:val="center"/>
          </w:tcPr>
          <w:p w14:paraId="433B78C2">
            <w:pPr>
              <w:jc w:val="center"/>
              <w:rPr>
                <w:rFonts w:hint="eastAsia" w:ascii="仿宋" w:hAnsi="仿宋" w:eastAsia="仿宋" w:cs="宋体"/>
                <w:sz w:val="24"/>
              </w:rPr>
            </w:pPr>
            <w:r>
              <w:rPr>
                <w:rFonts w:hint="eastAsia" w:ascii="仿宋" w:hAnsi="仿宋" w:eastAsia="仿宋" w:cs="宋体"/>
                <w:sz w:val="24"/>
              </w:rPr>
              <w:t>多目标优化的半导体后端制造生产排程研究</w:t>
            </w:r>
          </w:p>
          <w:p w14:paraId="3C14B762">
            <w:pPr>
              <w:jc w:val="center"/>
              <w:rPr>
                <w:rFonts w:hint="eastAsia" w:ascii="仿宋" w:hAnsi="仿宋" w:eastAsia="仿宋" w:cs="宋体"/>
                <w:sz w:val="24"/>
              </w:rPr>
            </w:pPr>
            <w:r>
              <w:rPr>
                <w:rFonts w:hint="eastAsia" w:ascii="仿宋" w:hAnsi="仿宋" w:eastAsia="仿宋" w:cs="宋体"/>
                <w:sz w:val="24"/>
              </w:rPr>
              <w:t>Multi-Objective Optimization of Production Scheduling in Semiconductor Backend Manufacturing</w:t>
            </w:r>
          </w:p>
        </w:tc>
      </w:tr>
      <w:tr w14:paraId="459629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3" w:hRule="atLeast"/>
          <w:jc w:val="center"/>
        </w:trPr>
        <w:tc>
          <w:tcPr>
            <w:tcW w:w="1843" w:type="dxa"/>
            <w:tcBorders>
              <w:left w:val="single" w:color="auto" w:sz="8" w:space="0"/>
            </w:tcBorders>
            <w:vAlign w:val="center"/>
          </w:tcPr>
          <w:p w14:paraId="0B4ECF2A">
            <w:pPr>
              <w:jc w:val="center"/>
              <w:rPr>
                <w:rFonts w:hint="eastAsia" w:ascii="仿宋" w:hAnsi="仿宋" w:eastAsia="仿宋" w:cs="仿宋_GB2312"/>
                <w:spacing w:val="-4"/>
                <w:sz w:val="24"/>
              </w:rPr>
            </w:pPr>
            <w:r>
              <w:rPr>
                <w:rFonts w:hint="eastAsia" w:ascii="仿宋" w:hAnsi="仿宋" w:eastAsia="仿宋" w:cs="仿宋_GB2312"/>
                <w:spacing w:val="-4"/>
                <w:sz w:val="24"/>
              </w:rPr>
              <w:t>课题来源</w:t>
            </w:r>
          </w:p>
        </w:tc>
        <w:tc>
          <w:tcPr>
            <w:tcW w:w="7028" w:type="dxa"/>
            <w:gridSpan w:val="6"/>
            <w:tcBorders>
              <w:right w:val="single" w:color="auto" w:sz="8" w:space="0"/>
            </w:tcBorders>
            <w:vAlign w:val="center"/>
          </w:tcPr>
          <w:p w14:paraId="696E3FE5">
            <w:pPr>
              <w:rPr>
                <w:rFonts w:hint="eastAsia" w:ascii="仿宋" w:hAnsi="仿宋" w:eastAsia="仿宋" w:cs="仿宋"/>
                <w:sz w:val="24"/>
                <w:lang w:eastAsia="zh-CN"/>
              </w:rPr>
            </w:pPr>
            <w:r>
              <w:rPr>
                <w:rFonts w:hint="eastAsia" w:ascii="仿宋" w:hAnsi="仿宋" w:eastAsia="仿宋" w:cs="仿宋"/>
                <w:sz w:val="24"/>
                <w:lang w:val="en-US" w:eastAsia="zh-CN"/>
              </w:rPr>
              <w:t>自拟题目</w:t>
            </w:r>
          </w:p>
        </w:tc>
      </w:tr>
      <w:tr w14:paraId="1E4CC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1843" w:type="dxa"/>
            <w:tcBorders>
              <w:left w:val="single" w:color="auto" w:sz="8" w:space="0"/>
              <w:right w:val="single" w:color="auto" w:sz="8" w:space="0"/>
            </w:tcBorders>
            <w:vAlign w:val="center"/>
          </w:tcPr>
          <w:p w14:paraId="2CC3AF1B">
            <w:pPr>
              <w:jc w:val="center"/>
              <w:rPr>
                <w:rFonts w:hint="eastAsia" w:ascii="仿宋" w:hAnsi="仿宋" w:eastAsia="仿宋" w:cs="仿宋_GB2312"/>
                <w:sz w:val="24"/>
              </w:rPr>
            </w:pPr>
            <w:r>
              <w:rPr>
                <w:rFonts w:hint="eastAsia" w:ascii="仿宋" w:hAnsi="仿宋" w:eastAsia="仿宋" w:cs="仿宋_GB2312"/>
                <w:sz w:val="24"/>
              </w:rPr>
              <w:t>预计学位论文工作时间</w:t>
            </w:r>
          </w:p>
        </w:tc>
        <w:tc>
          <w:tcPr>
            <w:tcW w:w="7028" w:type="dxa"/>
            <w:gridSpan w:val="6"/>
            <w:tcBorders>
              <w:left w:val="single" w:color="auto" w:sz="8" w:space="0"/>
              <w:right w:val="single" w:color="auto" w:sz="8" w:space="0"/>
            </w:tcBorders>
            <w:vAlign w:val="center"/>
          </w:tcPr>
          <w:p w14:paraId="6A2165D7">
            <w:pPr>
              <w:jc w:val="center"/>
              <w:rPr>
                <w:rFonts w:hint="eastAsia" w:ascii="仿宋" w:hAnsi="仿宋" w:eastAsia="仿宋" w:cs="仿宋"/>
                <w:sz w:val="24"/>
              </w:rPr>
            </w:pPr>
            <w:r>
              <w:rPr>
                <w:rFonts w:hint="eastAsia" w:ascii="仿宋" w:hAnsi="仿宋" w:eastAsia="仿宋" w:cs="仿宋"/>
                <w:sz w:val="22"/>
                <w:szCs w:val="22"/>
              </w:rPr>
              <w:t>预计开始时间：2026年6月      预计结束时间：2027年5月</w:t>
            </w:r>
          </w:p>
        </w:tc>
      </w:tr>
      <w:tr w14:paraId="64344C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843" w:type="dxa"/>
            <w:vMerge w:val="restart"/>
            <w:tcBorders>
              <w:left w:val="single" w:color="auto" w:sz="8" w:space="0"/>
              <w:right w:val="single" w:color="auto" w:sz="4" w:space="0"/>
            </w:tcBorders>
            <w:vAlign w:val="center"/>
          </w:tcPr>
          <w:p w14:paraId="02FF02A8">
            <w:pPr>
              <w:jc w:val="center"/>
              <w:rPr>
                <w:rFonts w:hint="eastAsia" w:ascii="仿宋" w:hAnsi="仿宋" w:eastAsia="仿宋" w:cs="仿宋_GB2312"/>
                <w:sz w:val="24"/>
              </w:rPr>
            </w:pPr>
            <w:r>
              <w:rPr>
                <w:rFonts w:hint="eastAsia" w:ascii="仿宋" w:hAnsi="仿宋" w:eastAsia="仿宋" w:cs="仿宋_GB2312"/>
                <w:sz w:val="24"/>
              </w:rPr>
              <w:t>培养指导小组</w:t>
            </w:r>
          </w:p>
        </w:tc>
        <w:tc>
          <w:tcPr>
            <w:tcW w:w="1240" w:type="dxa"/>
            <w:tcBorders>
              <w:left w:val="single" w:color="auto" w:sz="4" w:space="0"/>
              <w:right w:val="single" w:color="auto" w:sz="4" w:space="0"/>
            </w:tcBorders>
            <w:vAlign w:val="center"/>
          </w:tcPr>
          <w:p w14:paraId="0C15A3F4">
            <w:pPr>
              <w:jc w:val="center"/>
              <w:rPr>
                <w:rFonts w:hint="eastAsia" w:ascii="仿宋" w:hAnsi="仿宋" w:eastAsia="仿宋" w:cs="仿宋_GB2312"/>
                <w:sz w:val="24"/>
              </w:rPr>
            </w:pPr>
            <w:r>
              <w:rPr>
                <w:rFonts w:hint="eastAsia" w:ascii="仿宋" w:hAnsi="仿宋" w:eastAsia="仿宋" w:cs="仿宋_GB2312"/>
                <w:sz w:val="24"/>
              </w:rPr>
              <w:t>姓名</w:t>
            </w:r>
          </w:p>
        </w:tc>
        <w:tc>
          <w:tcPr>
            <w:tcW w:w="992" w:type="dxa"/>
            <w:tcBorders>
              <w:left w:val="single" w:color="auto" w:sz="4" w:space="0"/>
              <w:right w:val="single" w:color="auto" w:sz="4" w:space="0"/>
            </w:tcBorders>
            <w:vAlign w:val="center"/>
          </w:tcPr>
          <w:p w14:paraId="353F6E9B">
            <w:pPr>
              <w:jc w:val="center"/>
              <w:rPr>
                <w:rFonts w:hint="eastAsia" w:ascii="仿宋" w:hAnsi="仿宋" w:eastAsia="仿宋" w:cs="仿宋_GB2312"/>
                <w:sz w:val="24"/>
              </w:rPr>
            </w:pPr>
            <w:r>
              <w:rPr>
                <w:rFonts w:hint="eastAsia" w:ascii="仿宋" w:hAnsi="仿宋" w:eastAsia="仿宋" w:cs="仿宋_GB2312"/>
                <w:sz w:val="24"/>
              </w:rPr>
              <w:t>职称</w:t>
            </w:r>
          </w:p>
        </w:tc>
        <w:tc>
          <w:tcPr>
            <w:tcW w:w="3260" w:type="dxa"/>
            <w:gridSpan w:val="3"/>
            <w:tcBorders>
              <w:left w:val="single" w:color="auto" w:sz="4" w:space="0"/>
              <w:right w:val="single" w:color="auto" w:sz="4" w:space="0"/>
            </w:tcBorders>
            <w:vAlign w:val="center"/>
          </w:tcPr>
          <w:p w14:paraId="5D830C29">
            <w:pPr>
              <w:jc w:val="center"/>
              <w:rPr>
                <w:rFonts w:hint="eastAsia" w:ascii="仿宋" w:hAnsi="仿宋" w:eastAsia="仿宋" w:cs="仿宋_GB2312"/>
                <w:sz w:val="24"/>
              </w:rPr>
            </w:pPr>
            <w:r>
              <w:rPr>
                <w:rFonts w:hint="eastAsia" w:ascii="仿宋" w:hAnsi="仿宋" w:eastAsia="仿宋" w:cs="仿宋_GB2312"/>
                <w:sz w:val="24"/>
              </w:rPr>
              <w:t>主要从事的专业与研究领域</w:t>
            </w:r>
          </w:p>
        </w:tc>
        <w:tc>
          <w:tcPr>
            <w:tcW w:w="1536" w:type="dxa"/>
            <w:tcBorders>
              <w:left w:val="single" w:color="auto" w:sz="4" w:space="0"/>
              <w:right w:val="single" w:color="auto" w:sz="8" w:space="0"/>
            </w:tcBorders>
            <w:vAlign w:val="center"/>
          </w:tcPr>
          <w:p w14:paraId="07766604">
            <w:pPr>
              <w:jc w:val="center"/>
              <w:rPr>
                <w:rFonts w:hint="eastAsia" w:ascii="仿宋" w:hAnsi="仿宋" w:eastAsia="仿宋" w:cs="仿宋_GB2312"/>
                <w:sz w:val="24"/>
              </w:rPr>
            </w:pPr>
            <w:r>
              <w:rPr>
                <w:rFonts w:hint="eastAsia" w:ascii="仿宋" w:hAnsi="仿宋" w:eastAsia="仿宋" w:cs="仿宋_GB2312"/>
                <w:sz w:val="24"/>
              </w:rPr>
              <w:t>联系方式</w:t>
            </w:r>
          </w:p>
        </w:tc>
      </w:tr>
      <w:tr w14:paraId="19D26B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843" w:type="dxa"/>
            <w:vMerge w:val="continue"/>
            <w:tcBorders>
              <w:left w:val="single" w:color="auto" w:sz="8" w:space="0"/>
              <w:right w:val="single" w:color="auto" w:sz="4" w:space="0"/>
            </w:tcBorders>
            <w:vAlign w:val="center"/>
          </w:tcPr>
          <w:p w14:paraId="45666718">
            <w:pPr>
              <w:jc w:val="center"/>
              <w:rPr>
                <w:rFonts w:hint="eastAsia" w:ascii="楷体" w:hAnsi="楷体" w:eastAsia="楷体" w:cs="仿宋_GB2312"/>
                <w:sz w:val="24"/>
              </w:rPr>
            </w:pPr>
          </w:p>
        </w:tc>
        <w:tc>
          <w:tcPr>
            <w:tcW w:w="1240" w:type="dxa"/>
            <w:tcBorders>
              <w:left w:val="single" w:color="auto" w:sz="4" w:space="0"/>
              <w:right w:val="single" w:color="auto" w:sz="4" w:space="0"/>
            </w:tcBorders>
            <w:vAlign w:val="center"/>
          </w:tcPr>
          <w:p w14:paraId="048DD2D9">
            <w:pPr>
              <w:jc w:val="center"/>
              <w:rPr>
                <w:rFonts w:hint="eastAsia" w:ascii="宋体" w:hAnsi="宋体" w:cs="宋体"/>
                <w:sz w:val="24"/>
              </w:rPr>
            </w:pPr>
            <w:r>
              <w:rPr>
                <w:rFonts w:hint="eastAsia" w:ascii="宋体" w:hAnsi="宋体" w:cs="宋体"/>
                <w:sz w:val="24"/>
              </w:rPr>
              <w:t>王谦</w:t>
            </w:r>
          </w:p>
        </w:tc>
        <w:tc>
          <w:tcPr>
            <w:tcW w:w="992" w:type="dxa"/>
            <w:tcBorders>
              <w:left w:val="single" w:color="auto" w:sz="4" w:space="0"/>
              <w:right w:val="single" w:color="auto" w:sz="4" w:space="0"/>
            </w:tcBorders>
            <w:vAlign w:val="center"/>
          </w:tcPr>
          <w:p w14:paraId="4FDE7B1D">
            <w:pPr>
              <w:jc w:val="center"/>
              <w:rPr>
                <w:rFonts w:hint="eastAsia" w:ascii="宋体" w:hAnsi="宋体" w:cs="宋体"/>
                <w:sz w:val="24"/>
              </w:rPr>
            </w:pPr>
            <w:r>
              <w:rPr>
                <w:rFonts w:hint="eastAsia" w:ascii="宋体" w:hAnsi="宋体" w:cs="宋体"/>
                <w:sz w:val="24"/>
              </w:rPr>
              <w:t>副教授</w:t>
            </w:r>
          </w:p>
        </w:tc>
        <w:tc>
          <w:tcPr>
            <w:tcW w:w="3260" w:type="dxa"/>
            <w:gridSpan w:val="3"/>
            <w:tcBorders>
              <w:left w:val="single" w:color="auto" w:sz="4" w:space="0"/>
              <w:right w:val="single" w:color="auto" w:sz="4" w:space="0"/>
            </w:tcBorders>
            <w:vAlign w:val="center"/>
          </w:tcPr>
          <w:p w14:paraId="2525EECA">
            <w:pPr>
              <w:jc w:val="center"/>
              <w:rPr>
                <w:rFonts w:hint="eastAsia" w:ascii="宋体" w:hAnsi="宋体" w:cs="宋体"/>
                <w:sz w:val="24"/>
              </w:rPr>
            </w:pPr>
            <w:r>
              <w:rPr>
                <w:rFonts w:hint="eastAsia" w:ascii="宋体" w:hAnsi="宋体" w:cs="宋体"/>
                <w:sz w:val="24"/>
              </w:rPr>
              <w:t>系统建模与仿真</w:t>
            </w:r>
          </w:p>
        </w:tc>
        <w:tc>
          <w:tcPr>
            <w:tcW w:w="1536" w:type="dxa"/>
            <w:tcBorders>
              <w:left w:val="single" w:color="auto" w:sz="4" w:space="0"/>
              <w:right w:val="single" w:color="auto" w:sz="8" w:space="0"/>
            </w:tcBorders>
            <w:vAlign w:val="center"/>
          </w:tcPr>
          <w:p w14:paraId="3B467A66">
            <w:pPr>
              <w:jc w:val="center"/>
              <w:rPr>
                <w:rFonts w:hint="eastAsia" w:ascii="宋体" w:hAnsi="宋体" w:cs="宋体"/>
                <w:sz w:val="24"/>
              </w:rPr>
            </w:pPr>
          </w:p>
        </w:tc>
      </w:tr>
      <w:tr w14:paraId="445B2F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843" w:type="dxa"/>
            <w:vMerge w:val="continue"/>
            <w:tcBorders>
              <w:left w:val="single" w:color="auto" w:sz="8" w:space="0"/>
              <w:right w:val="single" w:color="auto" w:sz="4" w:space="0"/>
            </w:tcBorders>
            <w:vAlign w:val="center"/>
          </w:tcPr>
          <w:p w14:paraId="3879B6C5">
            <w:pPr>
              <w:jc w:val="center"/>
              <w:rPr>
                <w:rFonts w:hint="eastAsia" w:ascii="楷体" w:hAnsi="楷体" w:eastAsia="楷体" w:cs="仿宋_GB2312"/>
                <w:sz w:val="24"/>
              </w:rPr>
            </w:pPr>
          </w:p>
        </w:tc>
        <w:tc>
          <w:tcPr>
            <w:tcW w:w="1240" w:type="dxa"/>
            <w:tcBorders>
              <w:left w:val="single" w:color="auto" w:sz="4" w:space="0"/>
              <w:right w:val="single" w:color="auto" w:sz="4" w:space="0"/>
            </w:tcBorders>
            <w:vAlign w:val="center"/>
          </w:tcPr>
          <w:p w14:paraId="30658520">
            <w:pPr>
              <w:jc w:val="center"/>
              <w:rPr>
                <w:rFonts w:hint="eastAsia" w:ascii="宋体" w:hAnsi="宋体" w:cs="宋体"/>
                <w:sz w:val="24"/>
              </w:rPr>
            </w:pPr>
          </w:p>
        </w:tc>
        <w:tc>
          <w:tcPr>
            <w:tcW w:w="992" w:type="dxa"/>
            <w:tcBorders>
              <w:left w:val="single" w:color="auto" w:sz="4" w:space="0"/>
              <w:right w:val="single" w:color="auto" w:sz="4" w:space="0"/>
            </w:tcBorders>
            <w:vAlign w:val="center"/>
          </w:tcPr>
          <w:p w14:paraId="41B0E322">
            <w:pPr>
              <w:jc w:val="center"/>
              <w:rPr>
                <w:rFonts w:hint="eastAsia" w:ascii="宋体" w:hAnsi="宋体" w:cs="宋体"/>
                <w:sz w:val="24"/>
              </w:rPr>
            </w:pPr>
          </w:p>
        </w:tc>
        <w:tc>
          <w:tcPr>
            <w:tcW w:w="3260" w:type="dxa"/>
            <w:gridSpan w:val="3"/>
            <w:tcBorders>
              <w:left w:val="single" w:color="auto" w:sz="4" w:space="0"/>
              <w:right w:val="single" w:color="auto" w:sz="4" w:space="0"/>
            </w:tcBorders>
            <w:vAlign w:val="center"/>
          </w:tcPr>
          <w:p w14:paraId="3A066645">
            <w:pPr>
              <w:jc w:val="center"/>
              <w:rPr>
                <w:rFonts w:hint="eastAsia" w:ascii="宋体" w:hAnsi="宋体" w:cs="宋体"/>
                <w:sz w:val="24"/>
              </w:rPr>
            </w:pPr>
          </w:p>
        </w:tc>
        <w:tc>
          <w:tcPr>
            <w:tcW w:w="1536" w:type="dxa"/>
            <w:tcBorders>
              <w:left w:val="single" w:color="auto" w:sz="4" w:space="0"/>
              <w:right w:val="single" w:color="auto" w:sz="8" w:space="0"/>
            </w:tcBorders>
            <w:vAlign w:val="center"/>
          </w:tcPr>
          <w:p w14:paraId="228E3385">
            <w:pPr>
              <w:jc w:val="center"/>
              <w:rPr>
                <w:rFonts w:hint="eastAsia" w:ascii="宋体" w:hAnsi="宋体" w:cs="宋体"/>
                <w:sz w:val="24"/>
              </w:rPr>
            </w:pPr>
          </w:p>
        </w:tc>
      </w:tr>
      <w:tr w14:paraId="1FB642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1843" w:type="dxa"/>
            <w:vMerge w:val="continue"/>
            <w:tcBorders>
              <w:left w:val="single" w:color="auto" w:sz="8" w:space="0"/>
              <w:right w:val="single" w:color="auto" w:sz="4" w:space="0"/>
            </w:tcBorders>
            <w:vAlign w:val="center"/>
          </w:tcPr>
          <w:p w14:paraId="793E59A5">
            <w:pPr>
              <w:jc w:val="center"/>
              <w:rPr>
                <w:rFonts w:hint="eastAsia" w:ascii="楷体" w:hAnsi="楷体" w:eastAsia="楷体" w:cs="仿宋_GB2312"/>
                <w:sz w:val="24"/>
              </w:rPr>
            </w:pPr>
          </w:p>
        </w:tc>
        <w:tc>
          <w:tcPr>
            <w:tcW w:w="1240" w:type="dxa"/>
            <w:tcBorders>
              <w:left w:val="single" w:color="auto" w:sz="4" w:space="0"/>
              <w:right w:val="single" w:color="auto" w:sz="4" w:space="0"/>
            </w:tcBorders>
            <w:vAlign w:val="center"/>
          </w:tcPr>
          <w:p w14:paraId="6802174F">
            <w:pPr>
              <w:jc w:val="center"/>
              <w:rPr>
                <w:rFonts w:hint="eastAsia" w:ascii="宋体" w:hAnsi="宋体" w:cs="宋体"/>
                <w:sz w:val="24"/>
              </w:rPr>
            </w:pPr>
          </w:p>
        </w:tc>
        <w:tc>
          <w:tcPr>
            <w:tcW w:w="992" w:type="dxa"/>
            <w:tcBorders>
              <w:left w:val="single" w:color="auto" w:sz="4" w:space="0"/>
              <w:right w:val="single" w:color="auto" w:sz="4" w:space="0"/>
            </w:tcBorders>
            <w:vAlign w:val="center"/>
          </w:tcPr>
          <w:p w14:paraId="33452205">
            <w:pPr>
              <w:jc w:val="center"/>
              <w:rPr>
                <w:rFonts w:hint="eastAsia" w:ascii="宋体" w:hAnsi="宋体" w:cs="宋体"/>
                <w:sz w:val="24"/>
              </w:rPr>
            </w:pPr>
          </w:p>
        </w:tc>
        <w:tc>
          <w:tcPr>
            <w:tcW w:w="3260" w:type="dxa"/>
            <w:gridSpan w:val="3"/>
            <w:tcBorders>
              <w:left w:val="single" w:color="auto" w:sz="4" w:space="0"/>
              <w:right w:val="single" w:color="auto" w:sz="4" w:space="0"/>
            </w:tcBorders>
            <w:vAlign w:val="center"/>
          </w:tcPr>
          <w:p w14:paraId="7E36D801">
            <w:pPr>
              <w:jc w:val="center"/>
              <w:rPr>
                <w:rFonts w:hint="eastAsia" w:ascii="宋体" w:hAnsi="宋体" w:cs="宋体"/>
                <w:sz w:val="24"/>
              </w:rPr>
            </w:pPr>
          </w:p>
        </w:tc>
        <w:tc>
          <w:tcPr>
            <w:tcW w:w="1536" w:type="dxa"/>
            <w:tcBorders>
              <w:left w:val="single" w:color="auto" w:sz="4" w:space="0"/>
              <w:right w:val="single" w:color="auto" w:sz="8" w:space="0"/>
            </w:tcBorders>
            <w:vAlign w:val="center"/>
          </w:tcPr>
          <w:p w14:paraId="1909956D">
            <w:pPr>
              <w:jc w:val="center"/>
              <w:rPr>
                <w:rFonts w:hint="eastAsia" w:ascii="宋体" w:hAnsi="宋体" w:cs="宋体"/>
                <w:sz w:val="24"/>
              </w:rPr>
            </w:pPr>
          </w:p>
        </w:tc>
      </w:tr>
      <w:tr w14:paraId="30A9CD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jc w:val="center"/>
        </w:trPr>
        <w:tc>
          <w:tcPr>
            <w:tcW w:w="8871" w:type="dxa"/>
            <w:gridSpan w:val="7"/>
            <w:tcBorders>
              <w:left w:val="single" w:color="auto" w:sz="8" w:space="0"/>
              <w:right w:val="single" w:color="auto" w:sz="8" w:space="0"/>
            </w:tcBorders>
            <w:vAlign w:val="center"/>
          </w:tcPr>
          <w:p w14:paraId="2E1682EF">
            <w:pPr>
              <w:rPr>
                <w:rFonts w:hint="eastAsia" w:ascii="仿宋_GB2312" w:hAnsi="仿宋_GB2312" w:eastAsia="仿宋_GB2312" w:cs="仿宋_GB2312"/>
                <w:b/>
                <w:bCs/>
                <w:sz w:val="24"/>
              </w:rPr>
            </w:pPr>
            <w:r>
              <w:rPr>
                <w:rFonts w:hint="eastAsia" w:ascii="仿宋" w:hAnsi="仿宋" w:eastAsia="仿宋" w:cs="仿宋_GB2312"/>
                <w:b/>
                <w:bCs/>
                <w:sz w:val="24"/>
              </w:rPr>
              <w:t>一、选题依据：</w:t>
            </w:r>
            <w:r>
              <w:rPr>
                <w:rFonts w:hint="eastAsia" w:ascii="楷体" w:hAnsi="楷体" w:eastAsia="楷体" w:cs="仿宋_GB2312"/>
                <w:sz w:val="24"/>
              </w:rPr>
              <w:t>（须包含内容：1</w:t>
            </w:r>
            <w:r>
              <w:rPr>
                <w:rFonts w:ascii="楷体" w:hAnsi="楷体" w:eastAsia="楷体" w:cs="仿宋_GB2312"/>
                <w:sz w:val="24"/>
              </w:rPr>
              <w:t>.</w:t>
            </w:r>
            <w:r>
              <w:rPr>
                <w:rFonts w:hint="eastAsia" w:ascii="楷体" w:hAnsi="楷体" w:eastAsia="楷体" w:cs="仿宋_GB2312"/>
                <w:sz w:val="24"/>
              </w:rPr>
              <w:t>论文选题的背景；2</w:t>
            </w:r>
            <w:r>
              <w:rPr>
                <w:rFonts w:ascii="楷体" w:hAnsi="楷体" w:eastAsia="楷体" w:cs="仿宋_GB2312"/>
                <w:sz w:val="24"/>
              </w:rPr>
              <w:t>.</w:t>
            </w:r>
            <w:r>
              <w:rPr>
                <w:rFonts w:hint="eastAsia" w:ascii="楷体" w:hAnsi="楷体" w:eastAsia="楷体" w:cs="仿宋_GB2312"/>
                <w:sz w:val="24"/>
              </w:rPr>
              <w:t>研究意义；3</w:t>
            </w:r>
            <w:r>
              <w:rPr>
                <w:rFonts w:ascii="楷体" w:hAnsi="楷体" w:eastAsia="楷体" w:cs="仿宋_GB2312"/>
                <w:sz w:val="24"/>
              </w:rPr>
              <w:t>.</w:t>
            </w:r>
            <w:r>
              <w:rPr>
                <w:rFonts w:hint="eastAsia" w:ascii="楷体" w:hAnsi="楷体" w:eastAsia="楷体" w:cs="仿宋_GB2312"/>
                <w:sz w:val="24"/>
              </w:rPr>
              <w:t>国内外研究现状分析；4</w:t>
            </w:r>
            <w:r>
              <w:rPr>
                <w:rFonts w:ascii="楷体" w:hAnsi="楷体" w:eastAsia="楷体" w:cs="仿宋_GB2312"/>
                <w:sz w:val="24"/>
              </w:rPr>
              <w:t>.</w:t>
            </w:r>
            <w:r>
              <w:rPr>
                <w:rFonts w:hint="eastAsia" w:ascii="楷体" w:hAnsi="楷体" w:eastAsia="楷体" w:cs="仿宋_GB2312"/>
                <w:sz w:val="24"/>
              </w:rPr>
              <w:t>主要参考文献。可另附页。）</w:t>
            </w:r>
          </w:p>
        </w:tc>
      </w:tr>
      <w:tr w14:paraId="392932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36" w:hRule="atLeast"/>
          <w:jc w:val="center"/>
        </w:trPr>
        <w:tc>
          <w:tcPr>
            <w:tcW w:w="8871" w:type="dxa"/>
            <w:gridSpan w:val="7"/>
            <w:tcBorders>
              <w:left w:val="single" w:color="auto" w:sz="8" w:space="0"/>
              <w:right w:val="single" w:color="auto" w:sz="8" w:space="0"/>
            </w:tcBorders>
            <w:vAlign w:val="center"/>
          </w:tcPr>
          <w:p w14:paraId="623EE8A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w:t>
            </w:r>
            <w:r>
              <w:rPr>
                <w:rFonts w:hint="eastAsia" w:ascii="仿宋_GB2312" w:hAnsi="仿宋_GB2312" w:eastAsia="仿宋_GB2312" w:cs="仿宋_GB2312"/>
                <w:sz w:val="24"/>
              </w:rPr>
              <w:t>. 论文选题的背景</w:t>
            </w:r>
          </w:p>
          <w:p w14:paraId="7DD7386C">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1.1 产业环境与问题提出</w:t>
            </w:r>
          </w:p>
          <w:p w14:paraId="443A04C3">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半导体产业是国民经济与国家安全的重要支柱，其制造链条可概括为前道晶圆制造与后道封装测试两大环节。后道封装测试承担晶圆切割、粘片、键合、塑封、研磨及贴带包装等工序，是连接芯片设计与终端应用的关键枢纽。全球半导体分工深化以来，OSAT企业普遍服务多家无晶圆设计客户，在按单生产模式下同时处理多品种、小批量、短交期订单，排程决策直接影响制造周期、准交率、在制品水平及设备利用率。Chien等（2011）指出，半导体制造建模需在产能约束、工艺路线柔性、随机扰动与信息不完全之间取得平衡；对于封装后端而言，上述矛盾往往体现为“物流驱动型”排程问题，而非单纯的前道工艺优化问题。</w:t>
            </w:r>
          </w:p>
          <w:p w14:paraId="791E195F">
            <w:pPr>
              <w:widowControl/>
              <w:shd w:val="clear" w:color="auto" w:fill="FFFFFF"/>
              <w:spacing w:before="75" w:after="150" w:line="495" w:lineRule="atLeast"/>
              <w:ind w:firstLine="555"/>
              <w:jc w:val="left"/>
              <w:rPr>
                <w:rFonts w:hint="eastAsia" w:ascii="仿宋_GB2312" w:hAnsi="仿宋_GB2312" w:eastAsia="仿宋_GB2312" w:cs="仿宋_GB2312"/>
                <w:sz w:val="24"/>
              </w:rPr>
            </w:pPr>
            <w:bookmarkStart w:id="1" w:name="_GoBack"/>
            <w:bookmarkEnd w:id="1"/>
            <w:r>
              <w:rPr>
                <w:rFonts w:hint="eastAsia" w:ascii="仿宋_GB2312" w:hAnsi="仿宋_GB2312" w:eastAsia="仿宋_GB2312" w:cs="仿宋_GB2312"/>
                <w:sz w:val="24"/>
              </w:rPr>
              <w:t>存储类半导体封装后端具有多品种混线、并行设备规模大、换型频繁、批次结构复杂等特点。典型产线可抽象为六工序串联流程：晶圆切割（D/S）→粘片（DA）→焊线（WB）→塑封（Mold）→键合/研磨（B/G）→贴带包装（Taping）。该结构在运筹学上属于混合流水车间（Hybrid Flow Shop，HFS）：各阶段按固定工艺顺序流转，阶段内部配置多台并行异构设备。DA与WB工序设备数量多、换型与搬运开销显著，常成为产能约束与调度热点；Mold等工序在特定负荷条件下亦可能形成瓶颈。与理想化流水车间不同，封装后端同时存在订单到达随机性、批次拆分与合并、跨工序Worker搬运、序列相关换型时间以及多级WIP等离散事件特征，使得纯解析优化模型难以完整刻画系统动态。Jain和Meeran（1999）对作业车间调度的长期回顾表明，真实生产环境中的资源异构、工序顺序与动态到达使NP-hard问题更加复杂；Stubbe和Rose（2011）的仿真研究亦说明，小批量与批处理设备替换会显著改变系统绩效。</w:t>
            </w:r>
          </w:p>
          <w:p w14:paraId="77002BBE">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2AFF567">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1.2 业务特征与调度难点</w:t>
            </w:r>
          </w:p>
          <w:p w14:paraId="38609EF3">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83E95F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从业务视角看，OSAT企业订单在ReleaseDate、DueDate、Material类型、OrderQty等方面高度异质。Lin和Chen（2015）在对真实封装组装设施的混合流水排程研究中指出，订单常被拆分为若干子作业并行加工后再合并，且同一订单的子作业在各阶段须使用相容的机台类型，以满足质量追溯与产品—机台资格约束。这一“拆分—并行—合并”行为显著增加了释放控制、批次规模与派工决策的耦合复杂度。Wu等（2023）在半导体制造机器调度综述中强调，后端组装与前道晶圆厂相比更突出物流、交期与流动时间（Flow Time）管理问题；短制造周期与稳健准交能力直接关联库存风险、销售损失与客户满意度。Lee和Lee（2008，2011）针对多芯片封装（MCP）组装线的研究亦表明，重入工序、异构并行机与换型时间对产能分配策略具有决定性影响，与本课题DA/WB结构高度相关。</w:t>
            </w:r>
          </w:p>
          <w:p w14:paraId="148C1DB7">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432629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实际排程实践中，计划人员通常同时关注两类相互制约的目标：一是系统层面制造周期（MakeSpan）或流动时间最小化，反映产线吞吐效率；二是订单层面准交与延期惩罚最小化，反映交期承诺履行能力。Pinedo（2016）系统论述了制造周期、拖期与误期等经典目标函数；在多目标无法同时最优时，加权标量化是管理科学与工程领域常用的决策支持方式。本课题采用Objective=0.7×MakeSpan+0.3×Penalty，与项目组Experiment实现及决策记录（D-004）保持一致，其中Penalty在出现订单延期时取大罚值、全部准时则为零，以突出准交约束的硬边界特征。</w:t>
            </w:r>
          </w:p>
          <w:p w14:paraId="6D232BF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D66E696">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1.3 本课题数据来源与研究场景</w:t>
            </w:r>
          </w:p>
          <w:p w14:paraId="4138780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73455E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本课题依托导师科研项目，基于典型存储类半导体封装企业提供的已脱敏行业订单、物料与设备配置数据开展研究。数据经脱敏处理后保留订单数量、ReleaseDate/DueDate、Material类型、各工序单位产能（UPH）及机台规模等字段，不含可识别客户或合作方信息。基准场景包含41张订单，代表“一周”生产负荷；设备规模合计459台（D/S 31、DA 112、WB 284、Mold 7、B/G 17、Taping 8），加工时间按CurrentQty/UPH计算，DA/WB换型含搬运3分钟与设置10分钟（MaterialID/Group变化触发）。</w:t>
            </w:r>
          </w:p>
          <w:p w14:paraId="32E086E6">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6CDA3B4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在模型层面，采用Simio离散事件仿真（Discrete Event Simulation，DES）构建六工序一体化模型，刻画三级批次结构（制造批次MLot→杂志批次Magazine→子批次SubLot）、Worker搬运、换型及Source订单释放逻辑。Law（2015）与Banks等（2010）所阐述的DES建模—验证—实验设计流程，为本课题提供了方法规范。研究决策变量包括批次缩放因子MLotFactor、SubLotFactor（通过Model Properties接入Scenario Generator），以及基于最早交期规则（Earliest Due Date，EDD）的订单释放与派工策略。前期EXP-001至EXP-003实验表明：Experiment绩效链路可正确计算MakeSpan、Penalty与Objective；在SPAN基准数据下，26场景因子网格扫描得到Objective最优50.61（MLot=1.0，SubLot=0.75），部分因子组合Penalty高达760；仅调整Orders表DueDate行序不足以替代Source层EDD逻辑。上述结果为开题阶段的可行性提供了实证支撑。</w:t>
            </w:r>
          </w:p>
          <w:p w14:paraId="10750048">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CD918DC">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 研究意义</w:t>
            </w:r>
          </w:p>
          <w:p w14:paraId="3BD01D3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9F70EE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2.1 理论意义</w:t>
            </w:r>
          </w:p>
          <w:p w14:paraId="14B7FE7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9380D8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本研究将多目标排程理论、混合流水车间调度与批次拆分问题置于离散事件仿真框架下加以整合，具有以下理论价值。</w:t>
            </w:r>
          </w:p>
          <w:p w14:paraId="5680763D">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A780A0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第一，丰富封装后端排程建模范式。在统一Simio模型中同时刻画六工序流转、三级批次拆分/合并、Worker搬运与DA/WB换型，有助于弥补简化流水模型对OSAT场景刻画不足的问题，回应Chien等（2011）与Chen-Ritzo等（2011）关于“仿真需贴近工业逻辑方能支持运营决策”的论断。</w:t>
            </w:r>
          </w:p>
          <w:p w14:paraId="2265E14C">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0D904B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第二，拓展仿真优化在后端组装的应用边界。以MakeSpan与延期惩罚构建加权多目标Response，并借助Scenario Generator开展二维因子网格实验，为“仿真评估+参数搜索”范式（Fowler等，2008；Lin和Chen，2015）提供可复现案例；与Chen等（2013）GA/PSO+OCBA、Chiu等（2023，2026）智能优化研究形成方法对照，明确DES Experiment在工业级复杂约束下的基准作用。</w:t>
            </w:r>
          </w:p>
          <w:p w14:paraId="544ABD73">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F4FC0F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第三，揭示效率—准交权衡结构。通过对比FIFO、EDD等经典派工规则（Panwalkar和Iskander，1977）及批次因子敏感性，有助于识别MakeSpan与Penalty的Pareto权衡区间，补充Pinedo（2016）调度理论在含批次拆分与交期惩罚场景下的实证讨论。Framinan等（2004）与Ruiz等（2006）关于流水/混合流水制造周期启发式的研究，为本课题解析因子—规则交互效应提供了理论参照。</w:t>
            </w:r>
          </w:p>
          <w:p w14:paraId="01F1C8FA">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FC90B3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2.2 实践意义</w:t>
            </w:r>
          </w:p>
          <w:p w14:paraId="5C5ABEC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D92EFE3">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无需新增资本投入的前提下，通过仿真寻优识别批次因子与释放/派工策略的改进区间，可为封装后端产线计划人员提供可操作的排程参数建议。EXP-002显示，MLotFactor=1.0、SubLotFactor=0.75时Objective=50.61，优于EXP-001基准54.88；高因子组合（如1.25×1.25）则MakeSpan与Penalty双高，Objective可达291.18，提示盲目放大批次可能恶化准交绩效。研究结论可辅助降低延期风险、缩短制造周期并在负荷校准后改善DA/WB等关键工序利用率。</w:t>
            </w:r>
          </w:p>
          <w:p w14:paraId="38A3B84E">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C184E8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对于企业生产计划部门而言，本研究输出的并非一次性最优解，而是一组可解释的参数—绩效映射关系：在给定脱敏订单结构与设备规模下，何种批次缩放区间更可能同时控制MakeSpan与Penalty；在何种负荷水平下瓶颈由“喂料不足”转向“DA/WB约束”；EDD释放相对于FIFO究竟改善多少Penalty。此类“what-if”洞察正是Chen-Ritzo等（2011）所强调的仿真决策支持价值。对于学院管理科学与工程训练而言，课题贯穿数据治理、随机系统建模、实验设计与多目标决策，符合系统建模与仿真研究方向的人才培养目标。</w:t>
            </w:r>
          </w:p>
          <w:p w14:paraId="60EAA416">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88F57C5">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此外，所构建的脱敏Simio模型与Experiment框架可复用于后续负荷敏感性分析、EDD派工对比及潜在OptQuest/metaheuristic扩展，为产学研协同提供可迁移的实验平台。Hoppe等（2025）与Luttmann和Xie（2026）等最新组合优化/强化学习研究虽提供了方法前沿，但与工业DES平台对接仍需可复现基准模型——本课题的积累可为此类对照研究提供基础场景。项目成果亦可以实验记录、对比图表形式支撑后续期刊论文或会议投稿，提升研究的延续性与学术产出潜力。</w:t>
            </w:r>
          </w:p>
          <w:p w14:paraId="645C27C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791370B">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 国内外研究现状分析</w:t>
            </w:r>
          </w:p>
          <w:p w14:paraId="530496C7">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E7CFD77">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3.1 半导体封装后端排程与派工规则</w:t>
            </w:r>
          </w:p>
          <w:p w14:paraId="2EF22701">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609DABE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半导体制造调度研究长期以前道晶圆厂为主，但后端组装同样面临多品种、并行机台、换型与交期约束等难题。Wu等（2023）系统梳理了半导体制造机器调度问题及精确算法、启发式与仿真优化等求解方法，指出后端场景在订单拆分、异构并行机与交期管理方面具有鲜明特征。刘琼等（2022）从中文文献角度综述了半导体制造调度问题，为国内研究提供了系统入口。Chien等（2011）从全球产业链视角总结了半导体制造建模分析的主要挑战，强调脱敏真实数据与仿真验证对管理决策支持的重要性。</w:t>
            </w:r>
          </w:p>
          <w:p w14:paraId="68099B55">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303C53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封装组装线领域，Lee和Lee（2008，2011）针对MCP组装线研究了重入工序、异构并行机与换型下的产能分配与派工策略，是后端排程的代表性工作。Lin和Chen（2015）基于真实OSAT数据提出混合流水仿真优化方法，以遗传算法结合最优计算预算分配（OCBA）求解产线—机台类型指派，并开展需求、产品结构与批次大小情景分析，与本课题“真实数据+SO”路线高度契合。Chen等（2013）将粒子群优化（PSO）与OCBA用于后段组装动态并行机调度，验证了元启发式与仿真联动的有效性。赵子夜等（2025）针对封装测试柔性流水车间建立含拖期惩罚的多目标模型；轩华等（2020）研究考虑运输的柔性流水车间调度，为混合流水扩展提供参考。</w:t>
            </w:r>
          </w:p>
          <w:p w14:paraId="05EB4B1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74BA1FB">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从派工规则视角看，Panwalkar和Iskander（1977）的经典综述表明，EDD、SPT、CR等规则在不同目标下表现各异；在交期导向场景中，EDD常作为基准规则，但其效果依赖释放策略与队列形成机制。本课题前期实验显示，在Penalty触发情景下，Source释放顺序与Server Selection Rule尚未与EDD一致，导致部分因子组合出现高额延期惩罚，说明后端排程需同时优化“入流顺序”与“队列排序”。Lee和Lee（2011）的产能分配策略亦提示，仅优化局部队列不足以解决全局交期问题，需与订单释放、批次拆分协同。</w:t>
            </w:r>
          </w:p>
          <w:p w14:paraId="7A035392">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7A3A92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近年来，智能优化方法加速向后端延伸。Chiu等（2023）研究半导体组装订单分配与灵活拆分规则的进化仿真优化；Chiu等（2026）将深度强化学习与仿真优化集成于后端组装调度。Yedidsion等（2021）与Zhou等（2020）在晶圆厂/智能制造场景下展示了深度强化学习对动态调度的潜力。Hoppe等（2025）提出结构化强化学习（SRL），通过嵌入组合优化层处理大规模组合动作空间；Luttmann和Xie（2026）的多动作自改进方法（MACSIM）在柔性流水/作业车间调度基准上展示了神经组合优化进展。上述研究丰富了方法谱系，但面向六工序一体化、含搬运换型与三级批次的Simio Experiment框架仍相对少见，且部分智能方法对数据规模与训练成本要求较高，尚难直接替代工业DES上的可解释参数扫描。</w:t>
            </w:r>
          </w:p>
          <w:p w14:paraId="293980D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110D98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3.2 批次拆分、批处理与lot streaming</w:t>
            </w:r>
          </w:p>
          <w:p w14:paraId="66ACC0C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684D031">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批次与子批次决策深刻影响WIP水平、流动时间与设备利用率。Potts和Van Wassenhove（1982）奠定了多阶段调度中lot streaming分解的理论基础；Uzsoy等（1992）给出同构子批的单机调度算法。Klemmt等（2011）比较混合整数规划与离散事件仿真，提出仿真与数学规划结合的时间窗分解方法，是半导体批处理调度的重要参考。Akçali等（2003）通过仿真评估批处理启发式对延期指标的影响；Mönch等（2001）研究不兼容产品族并行批处理机的启发式调度；Habenicht和Mönch（2002）将高级派工规则集成于晶圆厂批处理工具调度。Stubbe和Rose（2011）分析小批量与批处理设备替换的仿真绩效。王卓君等（2023）研究晶圆批处理设备的组批与指派。</w:t>
            </w:r>
          </w:p>
          <w:p w14:paraId="417DC9F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1397EA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封装后端，批次结构更具层次性：制造批次（MLot）→杂志批次（Magazine）→子批次（SubLot）。Lin和Chen（2015）指出，Magazine是跨工序搬运与追溯的关键单元，拆分粒度直接影响作业在DA/WB等热点工序的并行度与等待时间。本课题通过MLotFactor、SubLotFactor对Separator逻辑进行缩放，在不改动底层BOM的前提下模拟“批次放大/缩小”政策，属于参数化敏感性分析而非重新设计Lot结构。EXP-002结果显示，SubLotFactor=0.75在MLot=1.0附近取得较优Objective，说明适度减小子批可能缩短流动时间；但当因子过大（1.25×1.25）时Penalty与MakeSpan同时恶化，体现批次规模与交期约束的非线性耦合。</w:t>
            </w:r>
          </w:p>
          <w:p w14:paraId="5027B783">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E1E66D5">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现有文献多聚焦前道炉管批处理或一般lot streaming，对“三级批次+换型+搬运+多目标Penalty”的组合研究相对有限。本课题将在Klemmt等（2011）与Stubbe和Rose（2011）的仿真优化思路上，结合项目组Model3.0已实现的Combiner/Separator逻辑，形成可复现实验网格，填补封装后端批次参数扫描的实证空白。</w:t>
            </w:r>
          </w:p>
          <w:p w14:paraId="4ED19363">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C91E89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3.3 离散事件仿真与仿真优化</w:t>
            </w:r>
          </w:p>
          <w:p w14:paraId="5F706908">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0B28FB1">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Law（2015）、Banks等（2010）系统阐述了DES建模、验证、输出分析与实验设计方法论，是管理科学与工程领域开展仿真研究的经典教材。Chen-Ritzo等（2011）总结了半导体制造中仿真支持运营决策的工业实践经验，指出仿真模型需与MES/计划系统数据口径一致。Fowler等（2008）综述了基于仿真的调度研究进展，强调仿真优化在随机环境下的必要性。商业DES平台（如Simio）支持Experiment模块与Scenario Generator，便于对批次因子、释放规则等离散/连续决策变量进行网格扫描，并为后续接入OptQuest等仿真优化器预留接口。本课题采用Scenario Generator全因子扫描MLotFactor×SubLotFactor，对标项目组EXP-002/003实验协议，属于SO中的序贯敏感性分析策略。</w:t>
            </w:r>
          </w:p>
          <w:p w14:paraId="349E58A2">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E9287E1">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仿真优化一般包括：（1）仿真模型作为性能评估oracle；（2）优化/search策略在决策空间上引导采样；（3）统计方法处理仿真噪声（如OCBA、Common Random Numbers等）。Lin和Chen（2015）与Chen等（2013）代表了元启发式+OCBA路线；本课题当前阶段以Scenario Generator穷举/网格为主，优势在于对工业参数的直接可解释性与较低实现门槛，符合开题到中期“先建立可复现基准”的研究节奏。Fowler等（2008）亦指出，在复杂系统中，先用仿真摸清参数敏感性再嵌入优化器，是常见且稳健的技术路线。</w:t>
            </w:r>
          </w:p>
          <w:p w14:paraId="2F27AA9C">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605D707">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模型验证方面，本项目Model3.0已实现41单100%完成流转，加工时间逻辑与Architecture文档一致，满足Law（2015）所强调的概念模型与运行模型一致性要求。后续将在负荷校准情景下进一步检查利用率与瓶颈位置是否合理，避免在“喂料不足”伪瓶颈下得出错误调度结论——这也是项目组第七次会议强调的现实问题。</w:t>
            </w:r>
          </w:p>
          <w:p w14:paraId="7FB17FE5">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EFF1D9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3.4 多目标排程、制造周期与交期惩罚</w:t>
            </w:r>
          </w:p>
          <w:p w14:paraId="1C4B4B5B">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63C1CB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制造周期最小化与准交/拖期最小化是生产排程的两类经典目标。Pinedo（2016）系统论述了相关目标函数及算法体系。Panwalkar和Iskander（1977）综述了包括EDD、SPT等在内的派工规则，EDD在交期约束场景下仍具基准价值。Framinan等（2004）研究流水车间制造周期与流动时间的启发式；Ruiz等（2006）给出混合流水鲁棒调度算法。赵子夜等（2025）在柔性流水车间中集成拖期惩罚，展示了多目标建模在国内封装测试研究中的应用。</w:t>
            </w:r>
          </w:p>
          <w:p w14:paraId="6FD6CC52">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EDB2630">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在多目标处理策略上，常见方法包括Pareto前沿求解、分层优化与加权标量化。本课题采用Objective=0.7×MakeSpan+0.3×Penalty，属于加权标量化，便于在Simio Experiment中作为单一Primary Response排序Scenario，与项目组已跑通的EXP-001/002/003实现一致。Penalty采用“延期则大罚、全准时为零”的阈值式设计，强调准交硬约束，与部分文献中连续拖期积分目标不同；该设计更贴近计划部门对“是否延期”的离散管理口径，但需在论文中明确Penalty标度对权重解读的影响。</w:t>
            </w:r>
          </w:p>
          <w:p w14:paraId="79291595">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B5FC8C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MakeSpan统计口径方面，DECISIONS D-002记录当前Experiment暂用Mold_T_End，而导师会议建议采用Sink整线LastDepartureTime。两种口径在数值上可能接近，但在订单后段（B/G、Taping）占用显著时将产生差异。Chen-Ritzo等（2011）强调KPI定义与仿真事件记录点必须一致；本课题将在后续实验中并行记录两种MakeSpan，并在论文中报告口径敏感性，避免结论对外部读者产生歧义。</w:t>
            </w:r>
          </w:p>
          <w:p w14:paraId="4CDCB31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E9B625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3.5 文献述评与研究缺口</w:t>
            </w:r>
          </w:p>
          <w:p w14:paraId="74A6945A">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6B55951">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综合上述研究，可以得到以下缺口：（1）面向封装后端六工序一体化、含Worker搬运、DA/WB换型及三级批次结构的DES模型与脱敏真实订单数据相结合的实证研究仍不足；（2）在MakeSpan与延期惩罚双目标下，批次因子与EDD释放/派工策略的联合优化及对比验证有待系统化——EXP-003已表明仅调整Excel行序不足以实现交期驱动释放；（3）负荷校准、ReleaseDate/DueDate基准化与Penalty触发机制尚未在统一实验协议下充分揭示。本课题将在上述缺口上开展可复现的Simio Experiment研究，并为后续OptQuest或智能优化对照预留接口。</w:t>
            </w:r>
          </w:p>
          <w:p w14:paraId="05E516FC">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4FE464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3.6 本课题与现有研究的定位</w:t>
            </w:r>
          </w:p>
          <w:p w14:paraId="11F89FA2">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81360E5">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与Lin和Chen（2015）聚焦“产线—机台类型指派+GA+OCBA”相比，本课题将决策重点放在批次缩放因子与释放/派工规则，以Simio Experiment Scenario Generator为平台，强调加权多目标（MakeSpan+Penalty）在固定工艺路线下的参数敏感性，而非重新求解指派组合爆炸。与Chiu等（2023，2026）的智能优化路线相比，本课题优先保证工业级DES模型的可解释性与可复现性，使实验结论可直接对接计划员可操作的参数（MLotFactor/SubLotFactor、EDD规则）。与Klemmt等（2011）、Stubbe和Rose（2011）的批处理仿真研究相比，本课题突出封装后端三级批次结构及Worker/换型约束，而非前道炉管批处理。与Hoppe等（2025）、Luttmann和Xie（2026）等组合优化/神经方法相比，本课题提供基于真实脱敏订单的基准场景，可作为未来智能调度算法对照的“数字孪生”底座。</w:t>
            </w:r>
          </w:p>
          <w:p w14:paraId="01BCF72B">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1E762A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从研究方法论链条看，本课题遵循“数据基准化→DES建模→KPI/Experiment→因子与规则扫描→负荷校准→论文凝练”的递进逻辑，与Law（2015）所强调的仿真研究规范一致；在优化搜索层面，当前阶段以全因子网格为主（EXP-002/003），后续可逐步引入OptQuest或借鉴Chen等（2013）的PSO+OCBA进行连续/离散混合寻优。在绩效测度层面，将同步推进MakeSpan口径统一（Mold截面 vs Sink整线）与Penalty触发机制分析，避免KPI混用导致结论不可比（Chen-Ritzo等，2011）。</w:t>
            </w:r>
          </w:p>
          <w:p w14:paraId="2C026708">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36E103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从数据与实验条件看，41张订单的一周基准、459台设备规模及DA/WB换型参数均来自项目组已验证的Model3.0与SPAN数据集，实验数字（EXP-001：Objective=54.88；EXP-002：Objective_min=50.61，Penalty_max=760；EXP-003：Objective_min=52.38，Penalty_max=700）已登记于CLAIMS与实验记录，保证开题报告与后续论文数字可追溯。第七次项目组会议（2026年5月23日）进一步明确了ReleaseDate/DueDate基准化、MakeSpan全局记录及EDD释放等实施优先级，与本开题方案一致。</w:t>
            </w:r>
          </w:p>
          <w:p w14:paraId="36B6E1AB">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46B48D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综上，本课题在理论层面衔接HFSP调度、批次拆分与多目标仿真优化文献；在实践层面面向典型存储类封装后端脱敏场景；在方法层面以Simio DES+Experiment为主干，吸收派工规则与SO文献成果，形成具有可验证实验基础的管理科学与工程硕士研究方案。</w:t>
            </w:r>
          </w:p>
          <w:p w14:paraId="15B522D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2894DD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 主要参考文献</w:t>
            </w:r>
          </w:p>
          <w:p w14:paraId="3A6C5F1E">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C31976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 Akçali, et al.. Simulation-based assessment of batching heuristics in semiconductor manufacturing[C]//Proceedings of the 2003 Winter Simulation Conference. 2003: 1670-1678.</w:t>
            </w:r>
          </w:p>
          <w:p w14:paraId="15BD146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 Banks, et al.. Discrete-Event System Simulation[M]. 5th ed. Upper Saddle River, NJ: Prentice Hall, 2010.</w:t>
            </w:r>
          </w:p>
          <w:p w14:paraId="496F78C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 Chen, et al.. Simulation optimization with PSO and OCBA for semiconductor back-end assembly[J]. Journal of Industrial and Production Engineering, 2013, 30(8): 493-505.</w:t>
            </w:r>
          </w:p>
          <w:p w14:paraId="32103C3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 Chen-Ritzo, et al.. Experiences in implementing simulation-based support for operational decision making in semiconductor manufacturing[J]. European Journal of Industrial Engineering, 2011, 5(3): 272-291.</w:t>
            </w:r>
          </w:p>
          <w:p w14:paraId="7D9F03B1">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[5] Chien, et al.. Modelling and analysis of semiconductor manufacturing in a shrinking world: challenges and successes[J]. European Journal of Industrial Engineering, 2011, 5(3): 254-271.</w:t>
            </w:r>
          </w:p>
          <w:p w14:paraId="3F0496C4">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[6] Chiu, et al.. An evolutionary simulation-optimization approach for the problem of order allocation with flexible splitting rule in semiconductor assembly[J]. Applied Intelligence, 2023, 53(3): 2593-2615.</w:t>
            </w:r>
          </w:p>
          <w:p w14:paraId="064CA5F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[7] Chiu, et al.. Integration of deep reinforcement learning with simulation optimization applied to semiconductor backend assembly scheduling problem[J]. Swarm and Evolutionary Computation, 2026, 100: 102252.</w:t>
            </w:r>
          </w:p>
          <w:p w14:paraId="2C999DD7">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[8] Fowler, et al.. Simulation-based scheduling: Status and future directions[C]//Proceedings of the 2008 Winter Simulation Conference. 2008: 3373-3381.</w:t>
            </w:r>
          </w:p>
          <w:p w14:paraId="46F3C8C6">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[9] Framinan, et al.. Efficient heuristics for flowshop sequencing with objectives of makespan and flowtime minimisation[J]. European Journal of Operational Research, 2004, 141(1): 88-98.</w:t>
            </w:r>
          </w:p>
          <w:p w14:paraId="2FBB83A3">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[10] Habenicht, et al.. Integration of advanced dispatching rules for batching tools in wafer fabs[C]//Proceedings of the 2002 Winter Simulation Conference. 2002: 1862-1867.</w:t>
            </w:r>
          </w:p>
          <w:p w14:paraId="414FBE2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[11] Hoppe, et al.. Structured Reinforcement Learning for Combinatorial Decision-Making[C]//Advances in Neural Information Processing Systems. 2025: NeurIPS 2025 poster.</w:t>
            </w:r>
          </w:p>
          <w:p w14:paraId="0016671B">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[12] Jain, et al.. Deterministic job-shop scheduling: Past, present and future[J]. European Journal of Operational Research, 1999, 113(2): 390-434.</w:t>
            </w:r>
          </w:p>
          <w:p w14:paraId="5F90D68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[13] Klemmt, et al.. Optimisation approaches for batch scheduling in semiconductor manufacturing[J]. European Journal of Industrial Engineering, 2011, 5(3): 338-359.</w:t>
            </w:r>
          </w:p>
          <w:p w14:paraId="7B5CD8C7">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[14] Law, A. M.. Simulation Modeling and Analysis[M]. 5th ed. New York: McGraw-Hill Education, 2015.</w:t>
            </w:r>
          </w:p>
          <w:p w14:paraId="3DA4581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[15] Lee, et al.. Scheduling a multi-chip package assembly line with reentrant processes and unrelated parallel machines[C]//Proceedings of the 2008 Winter Simulation Conference. 2008: 2286-2291.</w:t>
            </w:r>
          </w:p>
          <w:p w14:paraId="4B1030A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[16] Lee, et al.. Machine capacity allocation strategies for scheduling a large multi-chip assembly line[J]. European Journal of Industrial Engineering, 2011, 5(3): 327-337.</w:t>
            </w:r>
          </w:p>
          <w:p w14:paraId="1F4D7B70">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[17] Lin, et al.. Simulation optimization approach for hybrid flow shop scheduling problem in semiconductor back-end manufacturing[J]. Simulation Modelling Practice and Theory, 2015, 51: 100-114.</w:t>
            </w:r>
          </w:p>
          <w:p w14:paraId="642E80E6">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[18] 刘琼，等. 半导体制造调度问题研究综述[J]. 工业工程与管理, 2022, 27(2): 1-15.</w:t>
            </w:r>
          </w:p>
          <w:p w14:paraId="7D40AFF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[19] Luttmann, et al.. Multi-Action Self-Improvement for Neural Combinatorial Optimization[C]//International Conference on Learning Representations. 2026: ICLR 2026.</w:t>
            </w:r>
          </w:p>
          <w:p w14:paraId="601BC9C5">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[20] Mönch, et al.. Heuristic scheduling of jobs on parallel batch machines with incompatible job families and unequal ready times[C]//Proceedings of the 2001 Winter Simulation Conference. 2001: 1436-1444.</w:t>
            </w:r>
          </w:p>
          <w:p w14:paraId="347D33B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[21] Panwalkar, et al.. A survey of scheduling rules[J]. Operations Research, 1977, 25(1): 45-61.</w:t>
            </w:r>
          </w:p>
          <w:p w14:paraId="05B33DC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[22] Pinedo, M. L.. Scheduling: Theory, Algorithms, and Systems[M]. 5th ed. New York: Springer, 2016.</w:t>
            </w:r>
          </w:p>
          <w:p w14:paraId="7FAE5FA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[23] Potts, et al.. Decomposition in single and multistage scheduling problems[J]. Naval Research Logistics Quarterly, 1982, 29(2): 207-218.</w:t>
            </w:r>
          </w:p>
          <w:p w14:paraId="74A107FB">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[24] Ruiz, et al.. Two robust scheduling algorithms for a hybrid flowshop environment[J]. Annals of Operations Research, 2006, 138: 271-286.</w:t>
            </w:r>
          </w:p>
          <w:p w14:paraId="296C9D7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[25] Stubbe, et al.. Simulation analysis of semiconductor manufacturing with small lot size and batch tool replacements[J]. European Journal of Industrial Engineering, 2011, 5(3): 292-312.</w:t>
            </w:r>
          </w:p>
          <w:p w14:paraId="2CF39C1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[26] Uzsoy, et al.. Algorithms for single machine scheduling of jobs with identical sub-lots[J]. International Journal of Production Research, 1992, 30(2): 301-319.</w:t>
            </w:r>
          </w:p>
          <w:p w14:paraId="7426F624">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[27] 王卓君，等. 结合逆向强化学习与强化学习的晶圆批处理设备调度方法[J]. 计算机集成制造系统, 2023, 29(11): 3738-3749.</w:t>
            </w:r>
          </w:p>
          <w:p w14:paraId="35E8DA64">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[28] Wu, et al.. Problems and solution methods of machine scheduling in semiconductor manufacturing operations: A survey[J]. Sustainability, 2023, 15(17): 13012.</w:t>
            </w:r>
          </w:p>
          <w:p w14:paraId="7618898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[29] 轩华，等. 考虑运输的柔性流水车间多处理器任务调度的混合遗传优化算法[J]. 计算机集成制造系统, 2020, 26(3): 707-717.</w:t>
            </w:r>
          </w:p>
          <w:p w14:paraId="5DC14A54">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[30] Yedidsion, et al.. Deep reinforcement learning for queue time management in semiconductor manufacturing[C]//Proceedings of the 2021 Winter Simulation Conference. 2021: 1-12.</w:t>
            </w:r>
          </w:p>
          <w:p w14:paraId="41997081">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[31] 赵子夜，等. 刚柔混合约束下柔性流水车间生产调度与设备维护集成优化[J]. 计算机集成制造系统, 2025, 31(3): 939-954.</w:t>
            </w:r>
          </w:p>
          <w:p w14:paraId="7D40C742">
            <w:pPr>
              <w:widowControl/>
              <w:shd w:val="clear" w:color="auto" w:fill="FFFFFF"/>
              <w:spacing w:before="75" w:after="150" w:line="495" w:lineRule="atLeast"/>
              <w:ind w:firstLine="555"/>
              <w:jc w:val="left"/>
              <w:rPr>
                <w:rFonts w:hint="eastAsia"/>
                <w:sz w:val="24"/>
              </w:rPr>
            </w:pPr>
            <w:r>
              <w:rPr>
                <w:rFonts w:hint="eastAsia" w:ascii="仿宋_GB2312" w:hAnsi="仿宋_GB2312" w:eastAsia="仿宋_GB2312" w:cs="仿宋_GB2312"/>
                <w:sz w:val="24"/>
              </w:rPr>
              <w:t>[32] Zhou, et al.. Deep reinforcement learning-based dynamic scheduling in smart manufacturing[C]//Proceedings of the 2020 Winter Simulation Conference. 2020: 865-876.</w:t>
            </w:r>
          </w:p>
        </w:tc>
      </w:tr>
      <w:tr w14:paraId="16C825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atLeast"/>
          <w:jc w:val="center"/>
        </w:trPr>
        <w:tc>
          <w:tcPr>
            <w:tcW w:w="8871" w:type="dxa"/>
            <w:gridSpan w:val="7"/>
            <w:tcBorders>
              <w:left w:val="single" w:color="auto" w:sz="8" w:space="0"/>
              <w:right w:val="single" w:color="auto" w:sz="8" w:space="0"/>
            </w:tcBorders>
            <w:vAlign w:val="center"/>
          </w:tcPr>
          <w:p w14:paraId="7C71048A">
            <w:pPr>
              <w:rPr>
                <w:rFonts w:hint="eastAsia" w:ascii="仿宋_GB2312" w:hAnsi="仿宋_GB2312" w:eastAsia="仿宋_GB2312" w:cs="仿宋_GB2312"/>
                <w:sz w:val="24"/>
              </w:rPr>
            </w:pPr>
            <w:r>
              <w:rPr>
                <w:rFonts w:hint="eastAsia" w:ascii="仿宋" w:hAnsi="仿宋" w:eastAsia="仿宋" w:cs="仿宋_GB2312"/>
                <w:b/>
                <w:bCs/>
                <w:sz w:val="24"/>
              </w:rPr>
              <w:t>二、研究方案</w:t>
            </w:r>
            <w:r>
              <w:rPr>
                <w:rFonts w:hint="eastAsia" w:ascii="楷体" w:hAnsi="楷体" w:eastAsia="楷体" w:cs="仿宋_GB2312"/>
                <w:sz w:val="22"/>
                <w:szCs w:val="22"/>
              </w:rPr>
              <w:t>（须包含内容：1</w:t>
            </w:r>
            <w:r>
              <w:rPr>
                <w:rFonts w:ascii="楷体" w:hAnsi="楷体" w:eastAsia="楷体" w:cs="仿宋_GB2312"/>
                <w:sz w:val="22"/>
                <w:szCs w:val="22"/>
              </w:rPr>
              <w:t>.</w:t>
            </w:r>
            <w:r>
              <w:rPr>
                <w:rFonts w:hint="eastAsia" w:ascii="楷体" w:hAnsi="楷体" w:eastAsia="楷体" w:cs="仿宋_GB2312"/>
                <w:sz w:val="22"/>
                <w:szCs w:val="22"/>
              </w:rPr>
              <w:t>研究目标、研究内容和拟解决的关键问题；2</w:t>
            </w:r>
            <w:r>
              <w:rPr>
                <w:rFonts w:ascii="楷体" w:hAnsi="楷体" w:eastAsia="楷体" w:cs="仿宋_GB2312"/>
                <w:sz w:val="22"/>
                <w:szCs w:val="22"/>
              </w:rPr>
              <w:t>.</w:t>
            </w:r>
            <w:r>
              <w:rPr>
                <w:rFonts w:hint="eastAsia" w:ascii="楷体" w:hAnsi="楷体" w:eastAsia="楷体" w:cs="仿宋_GB2312"/>
                <w:sz w:val="22"/>
                <w:szCs w:val="22"/>
              </w:rPr>
              <w:t>拟采取的研究思路与方法、技术路线、实验或调查方案及可行性分析；3</w:t>
            </w:r>
            <w:r>
              <w:rPr>
                <w:rFonts w:ascii="楷体" w:hAnsi="楷体" w:eastAsia="楷体" w:cs="仿宋_GB2312"/>
                <w:sz w:val="22"/>
                <w:szCs w:val="22"/>
              </w:rPr>
              <w:t>.</w:t>
            </w:r>
            <w:r>
              <w:rPr>
                <w:rFonts w:hint="eastAsia" w:ascii="楷体" w:hAnsi="楷体" w:eastAsia="楷体" w:cs="仿宋_GB2312"/>
                <w:sz w:val="22"/>
                <w:szCs w:val="22"/>
              </w:rPr>
              <w:t>研究的特色与创新点；4</w:t>
            </w:r>
            <w:r>
              <w:rPr>
                <w:rFonts w:ascii="楷体" w:hAnsi="楷体" w:eastAsia="楷体" w:cs="仿宋_GB2312"/>
                <w:sz w:val="22"/>
                <w:szCs w:val="22"/>
              </w:rPr>
              <w:t>.</w:t>
            </w:r>
            <w:r>
              <w:rPr>
                <w:rFonts w:hint="eastAsia" w:ascii="楷体" w:hAnsi="楷体" w:eastAsia="楷体" w:cs="仿宋_GB2312"/>
                <w:sz w:val="22"/>
                <w:szCs w:val="22"/>
              </w:rPr>
              <w:t>研究工作计划；5</w:t>
            </w:r>
            <w:r>
              <w:rPr>
                <w:rFonts w:ascii="楷体" w:hAnsi="楷体" w:eastAsia="楷体" w:cs="仿宋_GB2312"/>
                <w:sz w:val="22"/>
                <w:szCs w:val="22"/>
              </w:rPr>
              <w:t>.</w:t>
            </w:r>
            <w:r>
              <w:rPr>
                <w:rFonts w:hint="eastAsia" w:ascii="楷体" w:hAnsi="楷体" w:eastAsia="楷体" w:cs="仿宋_GB2312"/>
                <w:sz w:val="22"/>
                <w:szCs w:val="22"/>
              </w:rPr>
              <w:t>预期研究成果。）</w:t>
            </w:r>
          </w:p>
        </w:tc>
      </w:tr>
      <w:tr w14:paraId="28DB9D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65" w:hRule="atLeast"/>
          <w:jc w:val="center"/>
        </w:trPr>
        <w:tc>
          <w:tcPr>
            <w:tcW w:w="8871" w:type="dxa"/>
            <w:gridSpan w:val="7"/>
            <w:tcBorders>
              <w:left w:val="single" w:color="auto" w:sz="8" w:space="0"/>
              <w:right w:val="single" w:color="auto" w:sz="8" w:space="0"/>
            </w:tcBorders>
            <w:vAlign w:val="center"/>
          </w:tcPr>
          <w:p w14:paraId="5D36C6F5">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 研究目标、研究内容和拟解决的关键问题</w:t>
            </w:r>
          </w:p>
          <w:p w14:paraId="34EE516A">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5606F6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1.1 研究目标</w:t>
            </w:r>
          </w:p>
          <w:p w14:paraId="06193C68">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C6F8CA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本研究旨在面向典型存储类半导体封装后端产线，构建可运行的Simio离散事件仿真模型，并在加权多目标框架下开展批次因子与释放/派工策略的仿真优化与情景对比。具体目标包括：（1）建立涵盖六工序、三级批次、搬运与换型逻辑的DES模型，实现与行业脱敏订单及设备数据的可重复绑定；（2）以MakeSpan最小化与延期惩罚最小化为核心，构建Objective=0.7×MakeSpan+0.3×Penalty的Experiment绩效体系，通过Scenario Generator对MLotFactor、SubLotFactor及EDD等策略进行网格扫描与对比；（3）识别效率—准交权衡下的较优参数区间及瓶颈工序，为学位论文提供可验证的实验结论与管理启示。</w:t>
            </w:r>
          </w:p>
          <w:p w14:paraId="4C29C5E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4439FE3">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1.2 研究内容</w:t>
            </w:r>
          </w:p>
          <w:p w14:paraId="06040538">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CFEFFA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数据基准化与流程建模。基于行业脱敏订单数据，完成ReleaseDate/DueDate基准化（41张订单代表一周负荷；DueDate=ReleaseDate+交期间隔），建立Materials、Orders、MachineConfig等数据绑定；在Simio中实现六工序主流程及MLot→Magazine→SubLot三级批次结构，加工时间按CurrentQty/UPH计算，DA/WB换型含搬运3分钟与设置10分钟。</w:t>
            </w:r>
          </w:p>
          <w:p w14:paraId="22480152">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F79BC1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（2）绩效指标与Experiment框架。定义MakeSpan、Penalty及加权Objective三个Response；将MLotFactor、SubLotFactor设为Model Properties并接入Scenario Generator，开展二维因子网格实验；明确MakeSpan统计口径（当前采用Mold工序截面时刻Mold_T_End，并与Sink整线LastDepartureTime口径对照验证）。</w:t>
            </w:r>
          </w:p>
          <w:p w14:paraId="395D1D2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3A34D4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（3）交期驱动释放与派工策略。在Source及首队列引入EDD规则（按DueDate或DueDate−ReleaseDate升序释放与派工），对比先进先出（FIFO）等基线；开展EXP-004及后续对比实验，评估Penalty与Objective改善幅度。</w:t>
            </w:r>
          </w:p>
          <w:p w14:paraId="4B0D381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6FAEE9F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负荷校准与敏感性分析。通过订单复制、压缩ReleaseDate窗口或调整有效设备规模等方式，将DA/WB利用率提升至可反映瓶颈特征的水平（目标区间约50%—90%），在此基础上重复因子网格与派工对比，分析结论稳健性。</w:t>
            </w:r>
          </w:p>
          <w:p w14:paraId="1BCFBB5A">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366188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1.3 拟解决的关键问题</w:t>
            </w:r>
          </w:p>
          <w:p w14:paraId="718D792C">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917742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批次因子如何影响WIP、MakeSpan与Penalty？不同MLotFactor/SubLotFactor组合是否呈现可解释的权衡规律？（2）订单释放顺序与队列派工规则如何影响准交绩效？Source层EDD与Excel行序调整的效果边界何在？（3）在负荷校准条件下，如何识别DA/WB/Mold等瓶颈工序并解释Experiment最优情景的运作机制？</w:t>
            </w:r>
          </w:p>
          <w:p w14:paraId="169A5BC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45F3F7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 拟采取的研究思路与方法、技术路线、实验方案及可行性分析</w:t>
            </w:r>
          </w:p>
          <w:p w14:paraId="77691BE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651C0A56">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2.1 研究思路与技术路线</w:t>
            </w:r>
          </w:p>
          <w:p w14:paraId="55D70C85">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12666C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研究分四阶段推进：①订单数据ReleaseDate/DueDate基准化与SPAN数据集固化；②完善Simio六工序模型（Model3.0）及Experiment绩效体系；③开展批次因子网格、EDD策略及负荷校准实验；④汇总结果、撰写学位论文。</w:t>
            </w:r>
          </w:p>
          <w:p w14:paraId="2B96EC67">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EEBFDCC">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技术路线如下：行业脱敏数据准备→Simio DES建模（六工序+批次+搬运+换型）→定义MakeSpan/Penalty/Objective→Scenario Generator因子扫描→EDD释放/派工优化→负荷敏感性实验→结论与论文定稿。</w:t>
            </w:r>
          </w:p>
          <w:p w14:paraId="712AD197">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B18D00C">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2.2 研究方法</w:t>
            </w:r>
          </w:p>
          <w:p w14:paraId="4E73151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2A3DCC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（1）离散事件仿真法。采用Simio构建封装后端系统模型，通过多次重复运行（Replications）估计响应均值，遵循Law（2015）所述建模—验证—实验设计流程。</w:t>
            </w:r>
          </w:p>
          <w:p w14:paraId="6B88632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3AD23D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（2）仿真优化与全因子实验设计。以MLotFactor、SubLotFactor为可控因子，利用Scenario Generator构造网格场景；Primary Response设为Objective，对比各情景MakeSpan、Penalty及综合目标，方法上对标Lin和Chen（2015）、Chen等（2013）的SO框架；后续可探索OptQuest/metaheuristic接入。</w:t>
            </w:r>
          </w:p>
          <w:p w14:paraId="2A51B5E0">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55A1A2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（3）派工与释放规则对比法。以Panwalkar和Iskander（1977）所述EDD为交期驱动基准，与FIFO对比，并结合第七次项目组会议（2026年5月23日）决议，在Source与Server Selection Rule层协同实现。</w:t>
            </w:r>
          </w:p>
          <w:p w14:paraId="2F51FA0A">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44076C4B">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（4）情景分析与敏感性分析。参照Stubbe和Rose（2011）、Lee和Lee（2011）的做法，在不同负荷水平、因子水平下比较系统绩效，解释Penalty触发条件与瓶颈迁移现象。</w:t>
            </w:r>
          </w:p>
          <w:p w14:paraId="7D37D6C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0D1E9A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2.3 实验方案</w:t>
            </w:r>
          </w:p>
          <w:p w14:paraId="0A87AE75">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4258956">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基准实验（EXP-001）验证Objective计算链路；SPAN数据下26场景因子全网格（EXP-002）识别较优因子区间；调整订单释放顺序的复跑（EXP-003）检验Source逻辑必要性；计划中的EXP-004实现DueDate升序EDD释放并与EXP-002最优因子附近情景对比。Ending Time设为100—144小时量级，以全部41单完成为准；Warm-up期按基准化方案处理1/9之前历史为预热窗口。</w:t>
            </w:r>
          </w:p>
          <w:p w14:paraId="2098A975">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A69E70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2.4 可行性分析</w:t>
            </w:r>
          </w:p>
          <w:p w14:paraId="2843A80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70443B1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项目组已完成AUTO_Model2.0/3.0，涵盖六工序Server流程、三级批次、Worker搬运及DA/WB换型；459台设备配置与41单100%完成流转已验证。Experiment体系已定义MakeSpan、Penalty、Objective，MLotFactor与SubLotFactor已接入Model Properties。EXP-001验证Objective计算正确（MakeSpan=78.40，Objective=54.88）；EXP-002在26个场景下Objective最优值为50.61（MLotFactor=1.0，SubLotFactor=0.75），Penalty最高760；EXP-003表明仅调整订单表顺序不足以替代Source层EDD。导师科研项目提供数据与领域指导，Simio平台与脱敏数据条件齐备，研究方案可行。</w:t>
            </w:r>
          </w:p>
          <w:p w14:paraId="4E5BE87E">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33A9715">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 研究的特色与创新点</w:t>
            </w:r>
          </w:p>
          <w:p w14:paraId="5E281A1B">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65EEB3A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（1）在单一Simio模型中集成六工序、Worker搬运、DA/WB换型及三级批次结构，贴近OSAT后端实际逻辑，克服简化流水模型对封装场景刻画不足的问题。</w:t>
            </w:r>
          </w:p>
          <w:p w14:paraId="16FF6BAC">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886FBE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（2）将批次因子与Experiment Scenario Generator联动，形成可复现的二维参数网格与加权多目标响应体系，为MakeSpan—Penalty权衡提供量化实验证据。</w:t>
            </w:r>
          </w:p>
          <w:p w14:paraId="35EB9C43">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312D5A6">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（3）在统一DES框架下联合考察批次缩放与EDD释放/派工策略，对接项目组已积累的EXP-001—003结果，并为后续负荷校准与OptQuest扩展预留方法接口。</w:t>
            </w:r>
          </w:p>
          <w:p w14:paraId="45BF0493">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69747CE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 研究工作计划</w:t>
            </w:r>
          </w:p>
          <w:p w14:paraId="6A8EBAC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47E8F4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2026年6—8月：完成ReleaseDate/DueDate基准化，统一MakeSpan口径，开展负荷校准实验；2026年9—12月：实现Source与队列EDD，完成EXP-004及派工对比；2027年1—3月：扩展因子水平与稳健性分析，整理实验图表；2027年4—5月：撰写、修改学位论文并准备答辩。</w:t>
            </w:r>
          </w:p>
          <w:p w14:paraId="78BB0E5B">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3EE208C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5. 预期研究成果</w:t>
            </w:r>
          </w:p>
          <w:p w14:paraId="362AA8C7">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175B691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硕士学位论文1篇，题目为《多目标优化的半导体后端制造生产排程研究》；（2）可运行的Simio封装后端仿真模型及脱敏实验数据集；（3）批次因子与释放/派工策略的对比实验结论，含MakeSpan、Penalty、Objective定量结果及瓶颈分析；（4）可复用的Experiment配置与实验记录，支撑后续期刊论文或项目报告撰写。</w:t>
            </w:r>
          </w:p>
        </w:tc>
      </w:tr>
      <w:tr w14:paraId="6F8EC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8871" w:type="dxa"/>
            <w:gridSpan w:val="7"/>
            <w:tcBorders>
              <w:left w:val="single" w:color="auto" w:sz="8" w:space="0"/>
              <w:right w:val="single" w:color="auto" w:sz="8" w:space="0"/>
            </w:tcBorders>
            <w:vAlign w:val="center"/>
          </w:tcPr>
          <w:p w14:paraId="0C353068">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三、研究基础（须包含内容：1.与本项目有关的研究工作积累和已取得的研究工作成绩（报告者本人的单独列出）；2.已具备的实验、资料等条件，尚缺少的实验、资料条件和拟解决的途径。）</w:t>
            </w:r>
          </w:p>
        </w:tc>
      </w:tr>
      <w:tr w14:paraId="029809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70" w:hRule="atLeast"/>
          <w:jc w:val="center"/>
        </w:trPr>
        <w:tc>
          <w:tcPr>
            <w:tcW w:w="8871" w:type="dxa"/>
            <w:gridSpan w:val="7"/>
            <w:tcBorders>
              <w:left w:val="single" w:color="auto" w:sz="8" w:space="0"/>
              <w:right w:val="single" w:color="auto" w:sz="8" w:space="0"/>
            </w:tcBorders>
            <w:vAlign w:val="center"/>
          </w:tcPr>
          <w:p w14:paraId="5BDAA8CB">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 与本项目有关的研究工作积累和已取得的研究工作成绩</w:t>
            </w:r>
          </w:p>
          <w:p w14:paraId="4B61DE91">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28651DE">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仿真模型建设。已完成AUTO_Model2.0及Model3.0-batchfactors版本，涵盖六工序Server流程（D/S→DA→WB→Mold→B/G→Taping）、三级批次拆分与合并（Separator_MLot/Separator_Mag/Separator_SubLot及Combiner_Sub）、Worker搬运及DA/WB换型逻辑。设备规模：D/S 31台、DA 112台、WB 284台、Mold 7台、B/G 17台、Taping 8台，合计459台。各Server加工时间按OrderEntity.CurrentQty/Materials.UPH计算，DA/WB换型含Transfer 3分钟与Setup 10分钟（MaterialID/Group变化触发）。</w:t>
            </w:r>
          </w:p>
          <w:p w14:paraId="390F9B2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182B017">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（2）Experiment与数据体系。已定义MakeSpan（当前为Mold_T_End）、Penalty与Objective=0.7×MakeSpan+0.3×Penalty三个Response；MLotFactor、SubLotFactor已定义为Model Properties并接入Scenario Generator。行业脱敏SPAN基准数据集（41张订单）已用于EXP-002/003网格实验。</w:t>
            </w:r>
          </w:p>
          <w:p w14:paraId="72AC8BA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1532AD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初步实验结果。EXP-001（基准，MLot=SubLot=1.0）：MakeSpan=78.40，Penalty=0，Objective=54.88。EXP-002（26场景因子网格）：Objective最优50.61（MLot=1.0，SubLot=0.75），Penalty最高760。EXP-003（Orders按DueDate降序后复跑）：Objective最优52.38（0.75/0.5），Penalty最高700，表明释放顺序须与Source逻辑协同而非仅调整表格行序。上述实验记录、架构说明与决策文档（DECISIONS D-001—D-008）已纳入项目版本管理。</w:t>
            </w:r>
          </w:p>
          <w:p w14:paraId="2FA4202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668F194">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（4）文献与开题准备。已系统研读项目参考文献文件夹及半导体排程、仿真优化、多目标调度等领域文献，完成开题报告撰写与模板填表脚本，建立BIBLIOGRAPHY.yaml文献真源与脱敏 CLAIMS 登记表。</w:t>
            </w:r>
          </w:p>
          <w:p w14:paraId="4D2279FF">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9DF7D1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 已具备的实验、资料等条件，尚缺少的实验、资料条件和拟解决的途径</w:t>
            </w:r>
          </w:p>
          <w:p w14:paraId="39B1CA99">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869080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2.1 已具备条件</w:t>
            </w:r>
          </w:p>
          <w:p w14:paraId="3B6F74EC">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0F73F1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Simio软件及Model3.0源文件；行业脱敏订单、物料与设备配置数据（含SPAN基准集）；模型架构文档（AUTO_Model2.0_Architecture_Document.md）；Experiment初步结果（EXP-001—003）；导师科研项目指导与每周进度沟通机制（项目组第七次会议，2026年5月23日）。</w:t>
            </w:r>
          </w:p>
          <w:p w14:paraId="4E4C1961">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3C12ABF">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2.2 尚缺条件与解决途径</w:t>
            </w:r>
          </w:p>
          <w:p w14:paraId="589CD127">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836800A">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1）设备利用率偏低。当前原始场景各工序平均利用率约13%，距反映瓶颈的负荷水平差距较大。拟通过复制订单并压缩ReleaseDate窗口、参考V1/V2扩容实验（×5/×6）或调整有效DA/WB台数等方式开展负荷敏感性实验，寻求DA/WB利用率进入50%—90%区间的标定场景。</w:t>
            </w:r>
          </w:p>
          <w:p w14:paraId="5BBF77B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0F92F92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（2）Magazine/批次口径。Quantity per magazine等字段含义需与导师及行业规范对照确认，避免批次因子物理意义与模型表达式不一致。</w:t>
            </w:r>
          </w:p>
          <w:p w14:paraId="4083041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A25E31D">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（3）MakeSpan全局定义。当前Experiment暂用Mold_T_End，与导师提出的“从0时刻至最后一单离开Sink”整线MakeSpan（LastDepartureTime）尚待统一；拟在Sink增加状态记录并与Mold截面口径对比，在论文中明确统计口径。</w:t>
            </w:r>
          </w:p>
          <w:p w14:paraId="69A9CA3A">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2FCD2052">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（4）Source层EDD尚未完全实现。EXP-003表明仅调整Excel行序不足；下一阶段修改Source_Orders释放逻辑与各Server Selection Rule为EDD（DueDate升序），开展EXP-004并与EXP-002最优因子附近情景对比Penalty改善幅度。</w:t>
            </w:r>
          </w:p>
          <w:p w14:paraId="04218BF4">
            <w:pPr>
              <w:widowControl/>
              <w:shd w:val="clear" w:color="auto" w:fill="FFFFFF"/>
              <w:spacing w:before="75" w:after="150" w:line="495" w:lineRule="atLeast"/>
              <w:ind w:firstLine="555"/>
              <w:jc w:val="left"/>
              <w:rPr>
                <w:rFonts w:hint="eastAsia" w:ascii="仿宋_GB2312" w:hAnsi="仿宋_GB2312" w:eastAsia="仿宋_GB2312" w:cs="仿宋_GB2312"/>
                <w:sz w:val="24"/>
              </w:rPr>
            </w:pPr>
          </w:p>
          <w:p w14:paraId="5448A969">
            <w:pPr>
              <w:widowControl/>
              <w:shd w:val="clear" w:color="auto" w:fill="FFFFFF"/>
              <w:spacing w:before="75" w:after="150" w:line="495" w:lineRule="atLeast"/>
              <w:ind w:firstLine="555"/>
              <w:jc w:val="left"/>
              <w:rPr>
                <w:rFonts w:hint="eastAsia" w:ascii="仿宋_GB2312" w:hAnsi="仿宋_GB2312" w:eastAsia="仿宋_GB2312" w:cs="仿宋_GB2312"/>
                <w:sz w:val="24"/>
              </w:rPr>
            </w:pPr>
            <w:r>
              <w:rPr>
                <w:rFonts w:hint="eastAsia" w:ascii="仿宋_GB2312" w:hAnsi="仿宋_GB2312" w:eastAsia="仿宋_GB2312" w:cs="仿宋_GB2312"/>
                <w:sz w:val="24"/>
              </w:rPr>
              <w:t>（5）潜在OptQuest/元启发式扩展。当前以Scenario Generator网格扫描为主；待基准协议稳定后，可探索OptQuest或借鉴Lin和Chen（2015）、Chen等（2013）的GA/PSO+OCBA思路进行连续参数寻优，作为后续拓展而非开题阶段必达项。</w:t>
            </w:r>
          </w:p>
        </w:tc>
      </w:tr>
      <w:tr w14:paraId="2F61BB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8871" w:type="dxa"/>
            <w:gridSpan w:val="7"/>
            <w:tcBorders>
              <w:left w:val="single" w:color="auto" w:sz="8" w:space="0"/>
              <w:right w:val="single" w:color="auto" w:sz="8" w:space="0"/>
            </w:tcBorders>
            <w:vAlign w:val="center"/>
          </w:tcPr>
          <w:p w14:paraId="1DB7CDE0">
            <w:pPr>
              <w:widowControl/>
              <w:shd w:val="clear" w:color="auto" w:fill="FFFFFF"/>
              <w:rPr>
                <w:rFonts w:hint="eastAsia" w:ascii="仿宋" w:hAnsi="仿宋" w:eastAsia="仿宋" w:cs="仿宋_GB2312"/>
                <w:sz w:val="24"/>
              </w:rPr>
            </w:pPr>
            <w:r>
              <w:rPr>
                <w:rFonts w:hint="eastAsia" w:ascii="仿宋" w:hAnsi="仿宋" w:eastAsia="仿宋" w:cs="仿宋_GB2312"/>
                <w:b/>
                <w:bCs/>
                <w:sz w:val="24"/>
              </w:rPr>
              <w:t>四、作者承诺及导师组意见</w:t>
            </w:r>
          </w:p>
        </w:tc>
      </w:tr>
      <w:tr w14:paraId="4DEA97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8871" w:type="dxa"/>
            <w:gridSpan w:val="7"/>
            <w:tcBorders>
              <w:left w:val="single" w:color="auto" w:sz="8" w:space="0"/>
              <w:right w:val="single" w:color="auto" w:sz="8" w:space="0"/>
            </w:tcBorders>
          </w:tcPr>
          <w:p w14:paraId="535B8144">
            <w:pPr>
              <w:widowControl/>
              <w:shd w:val="clear" w:color="auto" w:fill="FFFFFF"/>
              <w:spacing w:line="360" w:lineRule="auto"/>
              <w:ind w:firstLine="480" w:firstLineChars="200"/>
              <w:rPr>
                <w:rFonts w:hint="eastAsia" w:ascii="楷体" w:hAnsi="楷体" w:eastAsia="楷体" w:cs="仿宋_GB2312"/>
                <w:sz w:val="24"/>
              </w:rPr>
            </w:pPr>
            <w:r>
              <w:rPr>
                <w:rFonts w:hint="eastAsia" w:ascii="楷体" w:hAnsi="楷体" w:eastAsia="楷体" w:cs="仿宋_GB2312"/>
                <w:sz w:val="24"/>
              </w:rPr>
              <w:t>本人保证上述填报内容的真实性，并将在导师组指导下，按计划认真开展学位论文研究工作。</w:t>
            </w:r>
          </w:p>
          <w:p w14:paraId="787AF70D">
            <w:pPr>
              <w:widowControl/>
              <w:shd w:val="clear" w:color="auto" w:fill="FFFFFF"/>
              <w:rPr>
                <w:rFonts w:hint="eastAsia" w:ascii="仿宋" w:hAnsi="仿宋" w:eastAsia="仿宋" w:cs="仿宋_GB2312"/>
                <w:sz w:val="24"/>
              </w:rPr>
            </w:pPr>
            <w:r>
              <w:rPr>
                <w:rFonts w:hint="eastAsia" w:ascii="仿宋" w:hAnsi="仿宋" w:eastAsia="仿宋" w:cs="仿宋_GB2312"/>
                <w:sz w:val="24"/>
              </w:rPr>
              <w:t xml:space="preserve">                                    </w:t>
            </w:r>
            <w:r>
              <w:rPr>
                <w:rFonts w:ascii="仿宋" w:hAnsi="仿宋" w:eastAsia="仿宋" w:cs="仿宋_GB2312"/>
                <w:sz w:val="24"/>
              </w:rPr>
              <w:t xml:space="preserve">    </w:t>
            </w:r>
            <w:r>
              <w:rPr>
                <w:rFonts w:hint="eastAsia" w:ascii="仿宋" w:hAnsi="仿宋" w:eastAsia="仿宋" w:cs="仿宋_GB2312"/>
                <w:sz w:val="24"/>
              </w:rPr>
              <w:t>研究生（签名）：</w:t>
            </w:r>
          </w:p>
          <w:p w14:paraId="20649666">
            <w:pPr>
              <w:widowControl/>
              <w:shd w:val="clear" w:color="auto" w:fill="FFFFFF"/>
              <w:rPr>
                <w:rFonts w:hint="eastAsia" w:ascii="楷体" w:hAnsi="楷体" w:eastAsia="楷体" w:cs="仿宋_GB2312"/>
                <w:sz w:val="24"/>
              </w:rPr>
            </w:pPr>
            <w:r>
              <w:rPr>
                <w:rFonts w:hint="eastAsia" w:ascii="仿宋" w:hAnsi="仿宋" w:eastAsia="仿宋" w:cs="仿宋_GB2312"/>
                <w:sz w:val="24"/>
              </w:rPr>
              <w:t xml:space="preserve">                                           </w:t>
            </w:r>
            <w:r>
              <w:rPr>
                <w:rFonts w:ascii="仿宋" w:hAnsi="仿宋" w:eastAsia="仿宋" w:cs="仿宋_GB2312"/>
                <w:sz w:val="24"/>
              </w:rPr>
              <w:t xml:space="preserve">             </w:t>
            </w:r>
            <w:r>
              <w:rPr>
                <w:rFonts w:hint="eastAsia" w:ascii="仿宋" w:hAnsi="仿宋" w:eastAsia="仿宋" w:cs="仿宋_GB2312"/>
                <w:sz w:val="24"/>
              </w:rPr>
              <w:t>年   月   日</w:t>
            </w:r>
          </w:p>
        </w:tc>
      </w:tr>
      <w:tr w14:paraId="5A378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1" w:hRule="atLeast"/>
          <w:jc w:val="center"/>
        </w:trPr>
        <w:tc>
          <w:tcPr>
            <w:tcW w:w="8871" w:type="dxa"/>
            <w:gridSpan w:val="7"/>
            <w:tcBorders>
              <w:left w:val="single" w:color="auto" w:sz="8" w:space="0"/>
              <w:right w:val="single" w:color="auto" w:sz="8" w:space="0"/>
            </w:tcBorders>
          </w:tcPr>
          <w:p w14:paraId="3BC11329">
            <w:pPr>
              <w:widowControl/>
              <w:shd w:val="clear" w:color="auto" w:fill="FFFFFF"/>
              <w:rPr>
                <w:rFonts w:ascii="仿宋" w:hAnsi="仿宋" w:eastAsia="仿宋" w:cs="仿宋_GB2312"/>
                <w:sz w:val="24"/>
              </w:rPr>
            </w:pPr>
            <w:r>
              <w:rPr>
                <w:rFonts w:hint="eastAsia" w:ascii="仿宋" w:hAnsi="仿宋" w:eastAsia="仿宋" w:cs="仿宋_GB2312"/>
                <w:sz w:val="24"/>
              </w:rPr>
              <w:t>导师意见：</w:t>
            </w:r>
          </w:p>
          <w:p w14:paraId="7908D373">
            <w:pPr>
              <w:pStyle w:val="2"/>
              <w:rPr>
                <w:rFonts w:hint="eastAsia"/>
              </w:rPr>
            </w:pPr>
          </w:p>
          <w:p w14:paraId="62A4CE86">
            <w:pPr>
              <w:widowControl/>
              <w:shd w:val="clear" w:color="auto" w:fill="FFFFFF"/>
              <w:ind w:firstLine="480" w:firstLineChars="200"/>
              <w:rPr>
                <w:rFonts w:ascii="楷体" w:hAnsi="楷体" w:eastAsia="楷体" w:cs="仿宋_GB2312"/>
                <w:sz w:val="24"/>
              </w:rPr>
            </w:pPr>
            <w:r>
              <w:rPr>
                <w:rFonts w:hint="eastAsia" w:ascii="楷体" w:hAnsi="楷体" w:eastAsia="楷体" w:cs="仿宋_GB2312"/>
                <w:sz w:val="24"/>
              </w:rPr>
              <w:t>……</w:t>
            </w:r>
          </w:p>
          <w:p w14:paraId="6793CC4F">
            <w:pPr>
              <w:widowControl/>
              <w:shd w:val="clear" w:color="auto" w:fill="FFFFFF"/>
              <w:ind w:firstLine="480" w:firstLineChars="200"/>
              <w:rPr>
                <w:rFonts w:ascii="楷体" w:hAnsi="楷体" w:eastAsia="楷体" w:cs="仿宋_GB2312"/>
                <w:sz w:val="24"/>
              </w:rPr>
            </w:pPr>
            <w:r>
              <w:rPr>
                <w:rFonts w:hint="eastAsia" w:ascii="楷体" w:hAnsi="楷体" w:eastAsia="楷体" w:cs="仿宋_GB2312"/>
                <w:sz w:val="24"/>
              </w:rPr>
              <w:t>是否同意参加进行开题报告。</w:t>
            </w:r>
          </w:p>
          <w:p w14:paraId="2C11E68A">
            <w:pPr>
              <w:widowControl/>
              <w:pBdr>
                <w:top w:val="none" w:color="auto" w:sz="0" w:space="1"/>
                <w:left w:val="none" w:color="auto" w:sz="0" w:space="4"/>
                <w:bottom w:val="none" w:color="auto" w:sz="0" w:space="1"/>
                <w:right w:val="none" w:color="auto" w:sz="0" w:space="4"/>
              </w:pBdr>
              <w:shd w:val="clear" w:color="auto" w:fill="FFFFFF"/>
              <w:ind w:firstLine="1920" w:firstLineChars="800"/>
              <w:rPr>
                <w:rFonts w:hint="eastAsia" w:ascii="仿宋" w:hAnsi="仿宋" w:eastAsia="仿宋" w:cs="仿宋_GB2312"/>
                <w:sz w:val="24"/>
              </w:rPr>
            </w:pPr>
            <w:r>
              <w:rPr>
                <w:rFonts w:hint="eastAsia" w:ascii="仿宋" w:hAnsi="仿宋" w:eastAsia="仿宋" w:cs="仿宋_GB2312"/>
                <w:sz w:val="24"/>
              </w:rPr>
              <w:t xml:space="preserve"> </w:t>
            </w:r>
            <w:r>
              <w:rPr>
                <w:rFonts w:ascii="仿宋" w:hAnsi="仿宋" w:eastAsia="仿宋" w:cs="仿宋_GB2312"/>
                <w:sz w:val="24"/>
              </w:rPr>
              <w:t xml:space="preserve">                        </w:t>
            </w:r>
            <w:r>
              <w:rPr>
                <w:rFonts w:hint="eastAsia" w:ascii="仿宋" w:hAnsi="仿宋" w:eastAsia="仿宋" w:cs="仿宋_GB2312"/>
                <w:sz w:val="24"/>
              </w:rPr>
              <w:t>导师（签名）：</w:t>
            </w:r>
          </w:p>
          <w:p w14:paraId="45C60EEE">
            <w:pPr>
              <w:pStyle w:val="3"/>
              <w:spacing w:after="0"/>
              <w:ind w:firstLine="3120" w:firstLineChars="1300"/>
              <w:jc w:val="left"/>
              <w:rPr>
                <w:rFonts w:hint="eastAsia"/>
              </w:rPr>
            </w:pPr>
            <w:r>
              <w:rPr>
                <w:rFonts w:hint="eastAsia" w:ascii="仿宋" w:hAnsi="仿宋" w:eastAsia="仿宋" w:cs="仿宋_GB2312"/>
                <w:sz w:val="24"/>
              </w:rPr>
              <w:t xml:space="preserve"> </w:t>
            </w:r>
            <w:r>
              <w:rPr>
                <w:rFonts w:ascii="仿宋" w:hAnsi="仿宋" w:eastAsia="仿宋" w:cs="仿宋_GB2312"/>
                <w:sz w:val="24"/>
              </w:rPr>
              <w:t xml:space="preserve">                            </w:t>
            </w:r>
            <w:r>
              <w:rPr>
                <w:rFonts w:hint="eastAsia" w:ascii="仿宋" w:hAnsi="仿宋" w:eastAsia="仿宋" w:cs="仿宋_GB2312"/>
                <w:sz w:val="24"/>
              </w:rPr>
              <w:t>年    月    日</w:t>
            </w:r>
          </w:p>
        </w:tc>
      </w:tr>
    </w:tbl>
    <w:p w14:paraId="2080C0A8"/>
    <w:p w14:paraId="066BBE68">
      <w:pPr>
        <w:pStyle w:val="2"/>
        <w:rPr>
          <w:rFonts w:ascii="仿宋" w:hAnsi="仿宋" w:eastAsia="仿宋"/>
        </w:rPr>
      </w:pPr>
      <w:r>
        <w:br w:type="page"/>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2"/>
        <w:gridCol w:w="1417"/>
        <w:gridCol w:w="2977"/>
        <w:gridCol w:w="1276"/>
        <w:gridCol w:w="2313"/>
      </w:tblGrid>
      <w:tr w14:paraId="009297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8825" w:type="dxa"/>
            <w:gridSpan w:val="5"/>
            <w:tcBorders>
              <w:top w:val="single" w:color="auto" w:sz="4" w:space="0"/>
              <w:left w:val="single" w:color="auto" w:sz="8" w:space="0"/>
              <w:right w:val="single" w:color="auto" w:sz="8" w:space="0"/>
            </w:tcBorders>
            <w:vAlign w:val="center"/>
          </w:tcPr>
          <w:p w14:paraId="6E74594B">
            <w:pPr>
              <w:jc w:val="left"/>
              <w:rPr>
                <w:rFonts w:hint="eastAsia" w:ascii="仿宋" w:hAnsi="仿宋" w:eastAsia="仿宋" w:cs="仿宋_GB2312"/>
                <w:b/>
                <w:bCs/>
                <w:sz w:val="24"/>
              </w:rPr>
            </w:pPr>
            <w:r>
              <w:rPr>
                <w:rFonts w:hint="eastAsia" w:ascii="仿宋" w:hAnsi="仿宋" w:eastAsia="仿宋" w:cs="仿宋_GB2312"/>
                <w:b/>
                <w:bCs/>
                <w:sz w:val="24"/>
              </w:rPr>
              <w:t>五、评审专家组信息</w:t>
            </w:r>
          </w:p>
        </w:tc>
      </w:tr>
      <w:tr w14:paraId="08D7AF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42" w:type="dxa"/>
            <w:tcBorders>
              <w:left w:val="single" w:color="auto" w:sz="8" w:space="0"/>
              <w:right w:val="single" w:color="auto" w:sz="8" w:space="0"/>
            </w:tcBorders>
            <w:vAlign w:val="center"/>
          </w:tcPr>
          <w:p w14:paraId="12C3EF0C">
            <w:pPr>
              <w:pStyle w:val="2"/>
              <w:jc w:val="center"/>
              <w:rPr>
                <w:rFonts w:eastAsia="仿宋"/>
                <w:b/>
                <w:bCs/>
                <w:sz w:val="24"/>
              </w:rPr>
            </w:pPr>
          </w:p>
        </w:tc>
        <w:tc>
          <w:tcPr>
            <w:tcW w:w="1417" w:type="dxa"/>
            <w:tcBorders>
              <w:top w:val="single" w:color="auto" w:sz="4" w:space="0"/>
              <w:left w:val="single" w:color="auto" w:sz="8" w:space="0"/>
              <w:right w:val="single" w:color="auto" w:sz="8" w:space="0"/>
            </w:tcBorders>
            <w:vAlign w:val="center"/>
          </w:tcPr>
          <w:p w14:paraId="01B65311">
            <w:pPr>
              <w:pStyle w:val="2"/>
              <w:pBdr>
                <w:top w:val="none" w:color="auto" w:sz="0" w:space="0"/>
                <w:left w:val="none" w:color="auto" w:sz="0" w:space="0"/>
                <w:bottom w:val="none" w:color="auto" w:sz="0" w:space="0"/>
                <w:right w:val="none" w:color="auto" w:sz="0" w:space="0"/>
              </w:pBdr>
              <w:jc w:val="center"/>
              <w:rPr>
                <w:rFonts w:eastAsia="仿宋"/>
                <w:b/>
                <w:bCs/>
                <w:sz w:val="24"/>
              </w:rPr>
            </w:pPr>
            <w:r>
              <w:rPr>
                <w:rFonts w:eastAsia="仿宋"/>
                <w:b/>
                <w:bCs/>
                <w:sz w:val="24"/>
              </w:rPr>
              <w:t>姓名</w:t>
            </w:r>
          </w:p>
        </w:tc>
        <w:tc>
          <w:tcPr>
            <w:tcW w:w="2977" w:type="dxa"/>
            <w:tcBorders>
              <w:top w:val="single" w:color="auto" w:sz="4" w:space="0"/>
              <w:left w:val="single" w:color="auto" w:sz="8" w:space="0"/>
              <w:right w:val="single" w:color="auto" w:sz="8" w:space="0"/>
            </w:tcBorders>
            <w:vAlign w:val="center"/>
          </w:tcPr>
          <w:p w14:paraId="4A9D5887">
            <w:pPr>
              <w:pStyle w:val="2"/>
              <w:pBdr>
                <w:top w:val="none" w:color="auto" w:sz="0" w:space="0"/>
                <w:left w:val="none" w:color="auto" w:sz="0" w:space="0"/>
                <w:bottom w:val="none" w:color="auto" w:sz="0" w:space="0"/>
                <w:right w:val="none" w:color="auto" w:sz="0" w:space="0"/>
              </w:pBdr>
              <w:jc w:val="center"/>
              <w:rPr>
                <w:rFonts w:eastAsia="仿宋"/>
                <w:b/>
                <w:bCs/>
                <w:sz w:val="24"/>
              </w:rPr>
            </w:pPr>
            <w:r>
              <w:rPr>
                <w:rFonts w:eastAsia="仿宋"/>
                <w:b/>
                <w:bCs/>
                <w:sz w:val="24"/>
              </w:rPr>
              <w:t>工作单位</w:t>
            </w:r>
          </w:p>
        </w:tc>
        <w:tc>
          <w:tcPr>
            <w:tcW w:w="1276" w:type="dxa"/>
            <w:tcBorders>
              <w:top w:val="single" w:color="auto" w:sz="4" w:space="0"/>
              <w:left w:val="single" w:color="auto" w:sz="8" w:space="0"/>
              <w:right w:val="single" w:color="auto" w:sz="8" w:space="0"/>
            </w:tcBorders>
            <w:vAlign w:val="center"/>
          </w:tcPr>
          <w:p w14:paraId="115A0EB9">
            <w:pPr>
              <w:pStyle w:val="2"/>
              <w:pBdr>
                <w:top w:val="none" w:color="auto" w:sz="0" w:space="0"/>
                <w:left w:val="none" w:color="auto" w:sz="0" w:space="0"/>
                <w:bottom w:val="none" w:color="auto" w:sz="0" w:space="0"/>
                <w:right w:val="none" w:color="auto" w:sz="0" w:space="0"/>
              </w:pBdr>
              <w:jc w:val="center"/>
              <w:rPr>
                <w:rFonts w:eastAsia="仿宋"/>
                <w:b/>
                <w:bCs/>
                <w:sz w:val="24"/>
              </w:rPr>
            </w:pPr>
            <w:r>
              <w:rPr>
                <w:rFonts w:eastAsia="仿宋"/>
                <w:b/>
                <w:bCs/>
                <w:sz w:val="24"/>
              </w:rPr>
              <w:t>职称</w:t>
            </w:r>
          </w:p>
        </w:tc>
        <w:tc>
          <w:tcPr>
            <w:tcW w:w="2313" w:type="dxa"/>
            <w:tcBorders>
              <w:top w:val="single" w:color="auto" w:sz="4" w:space="0"/>
              <w:left w:val="single" w:color="auto" w:sz="8" w:space="0"/>
              <w:right w:val="single" w:color="auto" w:sz="8" w:space="0"/>
            </w:tcBorders>
            <w:vAlign w:val="center"/>
          </w:tcPr>
          <w:p w14:paraId="46F38F92">
            <w:pPr>
              <w:pStyle w:val="2"/>
              <w:pBdr>
                <w:top w:val="none" w:color="auto" w:sz="0" w:space="0"/>
                <w:left w:val="none" w:color="auto" w:sz="0" w:space="0"/>
                <w:bottom w:val="none" w:color="auto" w:sz="0" w:space="0"/>
                <w:right w:val="none" w:color="auto" w:sz="0" w:space="0"/>
              </w:pBdr>
              <w:jc w:val="center"/>
              <w:rPr>
                <w:rFonts w:eastAsia="仿宋"/>
                <w:b/>
                <w:bCs/>
                <w:sz w:val="24"/>
              </w:rPr>
            </w:pPr>
            <w:r>
              <w:rPr>
                <w:rFonts w:eastAsia="仿宋"/>
                <w:b/>
                <w:bCs/>
                <w:sz w:val="24"/>
              </w:rPr>
              <w:t>签名</w:t>
            </w:r>
          </w:p>
        </w:tc>
      </w:tr>
      <w:tr w14:paraId="1E4615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42" w:type="dxa"/>
            <w:tcBorders>
              <w:left w:val="single" w:color="auto" w:sz="8" w:space="0"/>
              <w:right w:val="single" w:color="auto" w:sz="8" w:space="0"/>
            </w:tcBorders>
            <w:vAlign w:val="center"/>
          </w:tcPr>
          <w:p w14:paraId="55618078">
            <w:pPr>
              <w:pBdr>
                <w:top w:val="none" w:color="auto" w:sz="0" w:space="1"/>
                <w:left w:val="none" w:color="auto" w:sz="0" w:space="4"/>
                <w:bottom w:val="none" w:color="auto" w:sz="0" w:space="1"/>
                <w:right w:val="none" w:color="auto" w:sz="0" w:space="4"/>
              </w:pBdr>
              <w:jc w:val="center"/>
              <w:rPr>
                <w:rFonts w:eastAsia="仿宋"/>
                <w:strike/>
                <w:sz w:val="24"/>
                <w:szCs w:val="32"/>
              </w:rPr>
            </w:pPr>
            <w:r>
              <w:rPr>
                <w:rFonts w:eastAsia="仿宋"/>
                <w:sz w:val="24"/>
              </w:rPr>
              <w:t>1</w:t>
            </w:r>
          </w:p>
        </w:tc>
        <w:tc>
          <w:tcPr>
            <w:tcW w:w="1417" w:type="dxa"/>
            <w:tcBorders>
              <w:left w:val="single" w:color="auto" w:sz="8" w:space="0"/>
              <w:right w:val="single" w:color="auto" w:sz="8" w:space="0"/>
            </w:tcBorders>
            <w:vAlign w:val="center"/>
          </w:tcPr>
          <w:p w14:paraId="188A63E6">
            <w:pPr>
              <w:jc w:val="center"/>
              <w:rPr>
                <w:rFonts w:eastAsia="仿宋"/>
                <w:sz w:val="24"/>
              </w:rPr>
            </w:pPr>
          </w:p>
        </w:tc>
        <w:tc>
          <w:tcPr>
            <w:tcW w:w="2977" w:type="dxa"/>
            <w:tcBorders>
              <w:left w:val="single" w:color="auto" w:sz="8" w:space="0"/>
              <w:right w:val="single" w:color="auto" w:sz="8" w:space="0"/>
            </w:tcBorders>
            <w:vAlign w:val="center"/>
          </w:tcPr>
          <w:p w14:paraId="10271C0A">
            <w:pPr>
              <w:jc w:val="center"/>
              <w:rPr>
                <w:rFonts w:eastAsia="仿宋"/>
                <w:sz w:val="24"/>
              </w:rPr>
            </w:pPr>
          </w:p>
        </w:tc>
        <w:tc>
          <w:tcPr>
            <w:tcW w:w="1276" w:type="dxa"/>
            <w:tcBorders>
              <w:left w:val="single" w:color="auto" w:sz="8" w:space="0"/>
              <w:right w:val="single" w:color="auto" w:sz="8" w:space="0"/>
            </w:tcBorders>
            <w:vAlign w:val="center"/>
          </w:tcPr>
          <w:p w14:paraId="476B68ED">
            <w:pPr>
              <w:jc w:val="center"/>
              <w:rPr>
                <w:rFonts w:eastAsia="仿宋"/>
                <w:sz w:val="24"/>
              </w:rPr>
            </w:pPr>
          </w:p>
        </w:tc>
        <w:tc>
          <w:tcPr>
            <w:tcW w:w="2313" w:type="dxa"/>
            <w:tcBorders>
              <w:left w:val="single" w:color="auto" w:sz="8" w:space="0"/>
              <w:right w:val="single" w:color="auto" w:sz="8" w:space="0"/>
            </w:tcBorders>
            <w:vAlign w:val="center"/>
          </w:tcPr>
          <w:p w14:paraId="7EA515E6">
            <w:pPr>
              <w:jc w:val="center"/>
              <w:rPr>
                <w:rFonts w:eastAsia="仿宋"/>
                <w:sz w:val="24"/>
              </w:rPr>
            </w:pPr>
          </w:p>
        </w:tc>
      </w:tr>
      <w:tr w14:paraId="1B87C8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42" w:type="dxa"/>
            <w:tcBorders>
              <w:left w:val="single" w:color="auto" w:sz="8" w:space="0"/>
              <w:right w:val="single" w:color="auto" w:sz="8" w:space="0"/>
            </w:tcBorders>
            <w:vAlign w:val="center"/>
          </w:tcPr>
          <w:p w14:paraId="01B501B7">
            <w:pPr>
              <w:jc w:val="center"/>
              <w:rPr>
                <w:rFonts w:eastAsia="仿宋"/>
                <w:strike/>
                <w:sz w:val="24"/>
                <w:szCs w:val="32"/>
              </w:rPr>
            </w:pPr>
            <w:r>
              <w:rPr>
                <w:rFonts w:eastAsia="仿宋"/>
                <w:sz w:val="24"/>
              </w:rPr>
              <w:t>2</w:t>
            </w:r>
          </w:p>
        </w:tc>
        <w:tc>
          <w:tcPr>
            <w:tcW w:w="1417" w:type="dxa"/>
            <w:tcBorders>
              <w:left w:val="single" w:color="auto" w:sz="8" w:space="0"/>
              <w:right w:val="single" w:color="auto" w:sz="8" w:space="0"/>
            </w:tcBorders>
            <w:vAlign w:val="center"/>
          </w:tcPr>
          <w:p w14:paraId="180F6DE6">
            <w:pPr>
              <w:jc w:val="center"/>
              <w:rPr>
                <w:rFonts w:eastAsia="仿宋"/>
                <w:sz w:val="24"/>
              </w:rPr>
            </w:pPr>
          </w:p>
        </w:tc>
        <w:tc>
          <w:tcPr>
            <w:tcW w:w="2977" w:type="dxa"/>
            <w:tcBorders>
              <w:left w:val="single" w:color="auto" w:sz="8" w:space="0"/>
              <w:right w:val="single" w:color="auto" w:sz="8" w:space="0"/>
            </w:tcBorders>
            <w:vAlign w:val="center"/>
          </w:tcPr>
          <w:p w14:paraId="22F7CEAD">
            <w:pPr>
              <w:jc w:val="center"/>
              <w:rPr>
                <w:rFonts w:eastAsia="仿宋"/>
                <w:sz w:val="24"/>
              </w:rPr>
            </w:pPr>
          </w:p>
        </w:tc>
        <w:tc>
          <w:tcPr>
            <w:tcW w:w="1276" w:type="dxa"/>
            <w:tcBorders>
              <w:left w:val="single" w:color="auto" w:sz="8" w:space="0"/>
              <w:right w:val="single" w:color="auto" w:sz="8" w:space="0"/>
            </w:tcBorders>
            <w:vAlign w:val="center"/>
          </w:tcPr>
          <w:p w14:paraId="17C07D38">
            <w:pPr>
              <w:jc w:val="center"/>
              <w:rPr>
                <w:rFonts w:eastAsia="仿宋"/>
                <w:sz w:val="24"/>
              </w:rPr>
            </w:pPr>
          </w:p>
        </w:tc>
        <w:tc>
          <w:tcPr>
            <w:tcW w:w="2313" w:type="dxa"/>
            <w:tcBorders>
              <w:left w:val="single" w:color="auto" w:sz="8" w:space="0"/>
              <w:right w:val="single" w:color="auto" w:sz="8" w:space="0"/>
            </w:tcBorders>
            <w:vAlign w:val="center"/>
          </w:tcPr>
          <w:p w14:paraId="4E9093ED">
            <w:pPr>
              <w:jc w:val="center"/>
              <w:rPr>
                <w:rFonts w:eastAsia="仿宋"/>
                <w:sz w:val="24"/>
              </w:rPr>
            </w:pPr>
          </w:p>
        </w:tc>
      </w:tr>
      <w:tr w14:paraId="3328C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42" w:type="dxa"/>
            <w:tcBorders>
              <w:left w:val="single" w:color="auto" w:sz="8" w:space="0"/>
              <w:right w:val="single" w:color="auto" w:sz="8" w:space="0"/>
            </w:tcBorders>
            <w:vAlign w:val="center"/>
          </w:tcPr>
          <w:p w14:paraId="433635E0">
            <w:pPr>
              <w:jc w:val="center"/>
              <w:rPr>
                <w:rFonts w:eastAsia="仿宋"/>
                <w:strike/>
                <w:sz w:val="24"/>
                <w:szCs w:val="32"/>
              </w:rPr>
            </w:pPr>
            <w:r>
              <w:rPr>
                <w:rFonts w:eastAsia="仿宋"/>
                <w:sz w:val="24"/>
              </w:rPr>
              <w:t>3</w:t>
            </w:r>
          </w:p>
        </w:tc>
        <w:tc>
          <w:tcPr>
            <w:tcW w:w="1417" w:type="dxa"/>
            <w:tcBorders>
              <w:left w:val="single" w:color="auto" w:sz="8" w:space="0"/>
              <w:right w:val="single" w:color="auto" w:sz="8" w:space="0"/>
            </w:tcBorders>
            <w:vAlign w:val="center"/>
          </w:tcPr>
          <w:p w14:paraId="11BDB369">
            <w:pPr>
              <w:jc w:val="center"/>
              <w:rPr>
                <w:rFonts w:eastAsia="仿宋"/>
                <w:sz w:val="24"/>
              </w:rPr>
            </w:pPr>
          </w:p>
        </w:tc>
        <w:tc>
          <w:tcPr>
            <w:tcW w:w="2977" w:type="dxa"/>
            <w:tcBorders>
              <w:left w:val="single" w:color="auto" w:sz="8" w:space="0"/>
              <w:right w:val="single" w:color="auto" w:sz="8" w:space="0"/>
            </w:tcBorders>
            <w:vAlign w:val="center"/>
          </w:tcPr>
          <w:p w14:paraId="35987F3D">
            <w:pPr>
              <w:jc w:val="center"/>
              <w:rPr>
                <w:rFonts w:eastAsia="仿宋"/>
                <w:sz w:val="24"/>
              </w:rPr>
            </w:pPr>
          </w:p>
        </w:tc>
        <w:tc>
          <w:tcPr>
            <w:tcW w:w="1276" w:type="dxa"/>
            <w:tcBorders>
              <w:left w:val="single" w:color="auto" w:sz="8" w:space="0"/>
              <w:right w:val="single" w:color="auto" w:sz="8" w:space="0"/>
            </w:tcBorders>
            <w:vAlign w:val="center"/>
          </w:tcPr>
          <w:p w14:paraId="36561490">
            <w:pPr>
              <w:jc w:val="center"/>
              <w:rPr>
                <w:rFonts w:eastAsia="仿宋"/>
                <w:sz w:val="24"/>
              </w:rPr>
            </w:pPr>
          </w:p>
        </w:tc>
        <w:tc>
          <w:tcPr>
            <w:tcW w:w="2313" w:type="dxa"/>
            <w:tcBorders>
              <w:left w:val="single" w:color="auto" w:sz="8" w:space="0"/>
              <w:right w:val="single" w:color="auto" w:sz="8" w:space="0"/>
            </w:tcBorders>
            <w:vAlign w:val="center"/>
          </w:tcPr>
          <w:p w14:paraId="1F5FA424">
            <w:pPr>
              <w:jc w:val="center"/>
              <w:rPr>
                <w:rFonts w:eastAsia="仿宋"/>
                <w:sz w:val="24"/>
              </w:rPr>
            </w:pPr>
          </w:p>
        </w:tc>
      </w:tr>
      <w:tr w14:paraId="72D082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42" w:type="dxa"/>
            <w:tcBorders>
              <w:left w:val="single" w:color="auto" w:sz="8" w:space="0"/>
              <w:right w:val="single" w:color="auto" w:sz="8" w:space="0"/>
            </w:tcBorders>
            <w:vAlign w:val="center"/>
          </w:tcPr>
          <w:p w14:paraId="3F27DEF1">
            <w:pPr>
              <w:jc w:val="center"/>
              <w:rPr>
                <w:rFonts w:eastAsia="仿宋"/>
                <w:strike/>
                <w:sz w:val="24"/>
                <w:szCs w:val="32"/>
              </w:rPr>
            </w:pPr>
            <w:r>
              <w:rPr>
                <w:rFonts w:eastAsia="仿宋"/>
                <w:sz w:val="24"/>
              </w:rPr>
              <w:t>4</w:t>
            </w:r>
          </w:p>
        </w:tc>
        <w:tc>
          <w:tcPr>
            <w:tcW w:w="1417" w:type="dxa"/>
            <w:tcBorders>
              <w:left w:val="single" w:color="auto" w:sz="8" w:space="0"/>
              <w:right w:val="single" w:color="auto" w:sz="8" w:space="0"/>
            </w:tcBorders>
            <w:vAlign w:val="center"/>
          </w:tcPr>
          <w:p w14:paraId="77A09871">
            <w:pPr>
              <w:jc w:val="center"/>
              <w:rPr>
                <w:rFonts w:eastAsia="仿宋"/>
                <w:sz w:val="24"/>
              </w:rPr>
            </w:pPr>
          </w:p>
        </w:tc>
        <w:tc>
          <w:tcPr>
            <w:tcW w:w="2977" w:type="dxa"/>
            <w:tcBorders>
              <w:left w:val="single" w:color="auto" w:sz="8" w:space="0"/>
              <w:right w:val="single" w:color="auto" w:sz="8" w:space="0"/>
            </w:tcBorders>
            <w:vAlign w:val="center"/>
          </w:tcPr>
          <w:p w14:paraId="67051F89">
            <w:pPr>
              <w:jc w:val="center"/>
              <w:rPr>
                <w:rFonts w:eastAsia="仿宋"/>
                <w:sz w:val="24"/>
              </w:rPr>
            </w:pPr>
          </w:p>
        </w:tc>
        <w:tc>
          <w:tcPr>
            <w:tcW w:w="1276" w:type="dxa"/>
            <w:tcBorders>
              <w:left w:val="single" w:color="auto" w:sz="8" w:space="0"/>
              <w:right w:val="single" w:color="auto" w:sz="8" w:space="0"/>
            </w:tcBorders>
            <w:vAlign w:val="center"/>
          </w:tcPr>
          <w:p w14:paraId="4A97A79B">
            <w:pPr>
              <w:jc w:val="center"/>
              <w:rPr>
                <w:rFonts w:eastAsia="仿宋"/>
                <w:sz w:val="24"/>
              </w:rPr>
            </w:pPr>
          </w:p>
        </w:tc>
        <w:tc>
          <w:tcPr>
            <w:tcW w:w="2313" w:type="dxa"/>
            <w:tcBorders>
              <w:left w:val="single" w:color="auto" w:sz="8" w:space="0"/>
              <w:right w:val="single" w:color="auto" w:sz="8" w:space="0"/>
            </w:tcBorders>
            <w:vAlign w:val="center"/>
          </w:tcPr>
          <w:p w14:paraId="3705C12C">
            <w:pPr>
              <w:jc w:val="center"/>
              <w:rPr>
                <w:rFonts w:eastAsia="仿宋"/>
                <w:sz w:val="24"/>
              </w:rPr>
            </w:pPr>
          </w:p>
        </w:tc>
      </w:tr>
      <w:tr w14:paraId="370CD2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4" w:hRule="atLeast"/>
          <w:jc w:val="center"/>
        </w:trPr>
        <w:tc>
          <w:tcPr>
            <w:tcW w:w="842" w:type="dxa"/>
            <w:tcBorders>
              <w:left w:val="single" w:color="auto" w:sz="8" w:space="0"/>
              <w:right w:val="single" w:color="auto" w:sz="8" w:space="0"/>
            </w:tcBorders>
            <w:vAlign w:val="center"/>
          </w:tcPr>
          <w:p w14:paraId="443DDAC2">
            <w:pPr>
              <w:jc w:val="center"/>
              <w:rPr>
                <w:rFonts w:eastAsia="仿宋"/>
                <w:strike/>
                <w:sz w:val="24"/>
                <w:szCs w:val="32"/>
              </w:rPr>
            </w:pPr>
            <w:r>
              <w:rPr>
                <w:rFonts w:eastAsia="仿宋"/>
                <w:sz w:val="24"/>
              </w:rPr>
              <w:t>5</w:t>
            </w:r>
          </w:p>
        </w:tc>
        <w:tc>
          <w:tcPr>
            <w:tcW w:w="1417" w:type="dxa"/>
            <w:tcBorders>
              <w:left w:val="single" w:color="auto" w:sz="8" w:space="0"/>
              <w:bottom w:val="single" w:color="auto" w:sz="4" w:space="0"/>
              <w:right w:val="single" w:color="auto" w:sz="8" w:space="0"/>
            </w:tcBorders>
            <w:vAlign w:val="center"/>
          </w:tcPr>
          <w:p w14:paraId="13FE1CD2">
            <w:pPr>
              <w:jc w:val="center"/>
              <w:rPr>
                <w:rFonts w:eastAsia="仿宋"/>
                <w:sz w:val="24"/>
              </w:rPr>
            </w:pPr>
          </w:p>
        </w:tc>
        <w:tc>
          <w:tcPr>
            <w:tcW w:w="2977" w:type="dxa"/>
            <w:tcBorders>
              <w:left w:val="single" w:color="auto" w:sz="8" w:space="0"/>
              <w:bottom w:val="single" w:color="auto" w:sz="4" w:space="0"/>
              <w:right w:val="single" w:color="auto" w:sz="8" w:space="0"/>
            </w:tcBorders>
            <w:vAlign w:val="center"/>
          </w:tcPr>
          <w:p w14:paraId="16A45DB0">
            <w:pPr>
              <w:jc w:val="center"/>
              <w:rPr>
                <w:rFonts w:eastAsia="仿宋"/>
                <w:sz w:val="24"/>
              </w:rPr>
            </w:pPr>
          </w:p>
        </w:tc>
        <w:tc>
          <w:tcPr>
            <w:tcW w:w="1276" w:type="dxa"/>
            <w:tcBorders>
              <w:left w:val="single" w:color="auto" w:sz="8" w:space="0"/>
              <w:bottom w:val="single" w:color="auto" w:sz="4" w:space="0"/>
              <w:right w:val="single" w:color="auto" w:sz="8" w:space="0"/>
            </w:tcBorders>
            <w:vAlign w:val="center"/>
          </w:tcPr>
          <w:p w14:paraId="3AAAE1A9">
            <w:pPr>
              <w:jc w:val="center"/>
              <w:rPr>
                <w:rFonts w:eastAsia="仿宋"/>
                <w:sz w:val="24"/>
              </w:rPr>
            </w:pPr>
          </w:p>
        </w:tc>
        <w:tc>
          <w:tcPr>
            <w:tcW w:w="2313" w:type="dxa"/>
            <w:tcBorders>
              <w:left w:val="single" w:color="auto" w:sz="8" w:space="0"/>
              <w:bottom w:val="single" w:color="auto" w:sz="4" w:space="0"/>
              <w:right w:val="single" w:color="auto" w:sz="8" w:space="0"/>
            </w:tcBorders>
            <w:vAlign w:val="center"/>
          </w:tcPr>
          <w:p w14:paraId="489FD720">
            <w:pPr>
              <w:jc w:val="center"/>
              <w:rPr>
                <w:rFonts w:eastAsia="仿宋"/>
                <w:sz w:val="24"/>
              </w:rPr>
            </w:pPr>
          </w:p>
        </w:tc>
      </w:tr>
      <w:tr w14:paraId="46BBCB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8825" w:type="dxa"/>
            <w:gridSpan w:val="5"/>
            <w:tcBorders>
              <w:left w:val="single" w:color="auto" w:sz="8" w:space="0"/>
              <w:right w:val="single" w:color="auto" w:sz="8" w:space="0"/>
            </w:tcBorders>
            <w:vAlign w:val="center"/>
          </w:tcPr>
          <w:p w14:paraId="01F247DE">
            <w:pPr>
              <w:rPr>
                <w:rFonts w:hint="eastAsia" w:ascii="仿宋_GB2312" w:hAnsi="仿宋_GB2312" w:eastAsia="仿宋_GB2312" w:cs="仿宋_GB2312"/>
                <w:sz w:val="24"/>
              </w:rPr>
            </w:pPr>
            <w:r>
              <w:rPr>
                <w:rFonts w:hint="eastAsia" w:ascii="仿宋" w:hAnsi="仿宋" w:eastAsia="仿宋" w:cs="仿宋_GB2312"/>
                <w:b/>
                <w:bCs/>
                <w:sz w:val="24"/>
              </w:rPr>
              <w:t>六、评审组意见</w:t>
            </w:r>
            <w:r>
              <w:rPr>
                <w:rFonts w:hint="eastAsia" w:ascii="楷体" w:hAnsi="楷体" w:eastAsia="楷体" w:cs="仿宋_GB2312"/>
                <w:sz w:val="22"/>
                <w:szCs w:val="22"/>
              </w:rPr>
              <w:t>（请填写关于毕业设计/学位论文开题的具体评价意见）</w:t>
            </w:r>
          </w:p>
        </w:tc>
      </w:tr>
      <w:tr w14:paraId="1C6F25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2835" w:hRule="atLeast"/>
          <w:jc w:val="center"/>
        </w:trPr>
        <w:tc>
          <w:tcPr>
            <w:tcW w:w="8825" w:type="dxa"/>
            <w:gridSpan w:val="5"/>
            <w:tcBorders>
              <w:left w:val="single" w:color="auto" w:sz="8" w:space="0"/>
              <w:right w:val="single" w:color="auto" w:sz="8" w:space="0"/>
            </w:tcBorders>
            <w:vAlign w:val="bottom"/>
          </w:tcPr>
          <w:p w14:paraId="2D6A2698">
            <w:pPr>
              <w:pStyle w:val="2"/>
              <w:rPr>
                <w:rFonts w:ascii="仿宋" w:hAnsi="仿宋" w:eastAsia="仿宋"/>
                <w:sz w:val="24"/>
                <w:szCs w:val="40"/>
              </w:rPr>
            </w:pPr>
          </w:p>
          <w:p w14:paraId="5C575069">
            <w:pPr>
              <w:pStyle w:val="3"/>
            </w:pPr>
          </w:p>
          <w:p w14:paraId="1CB4B905"/>
          <w:p w14:paraId="5C2AA55E">
            <w:pPr>
              <w:pStyle w:val="2"/>
            </w:pPr>
          </w:p>
          <w:p w14:paraId="6B16FBF6">
            <w:pPr>
              <w:pStyle w:val="3"/>
            </w:pPr>
          </w:p>
          <w:p w14:paraId="6BCCED06"/>
          <w:p w14:paraId="2FADE54F">
            <w:pPr>
              <w:pStyle w:val="2"/>
              <w:rPr>
                <w:rFonts w:hint="eastAsia"/>
              </w:rPr>
            </w:pPr>
          </w:p>
          <w:p w14:paraId="3D42D15B">
            <w:pPr>
              <w:pStyle w:val="2"/>
            </w:pPr>
          </w:p>
          <w:p w14:paraId="476658BD">
            <w:pPr>
              <w:pStyle w:val="3"/>
            </w:pPr>
          </w:p>
          <w:p w14:paraId="3C672BD8">
            <w:pPr>
              <w:rPr>
                <w:rFonts w:hint="eastAsia"/>
              </w:rPr>
            </w:pPr>
          </w:p>
          <w:p w14:paraId="5D09C77F">
            <w:pPr>
              <w:pStyle w:val="2"/>
            </w:pPr>
          </w:p>
          <w:p w14:paraId="5B373EA8">
            <w:pPr>
              <w:pStyle w:val="3"/>
              <w:rPr>
                <w:rFonts w:hint="eastAsia"/>
              </w:rPr>
            </w:pPr>
          </w:p>
          <w:p w14:paraId="716BA5F8">
            <w:pPr>
              <w:rPr>
                <w:rFonts w:hint="eastAsia"/>
              </w:rPr>
            </w:pPr>
          </w:p>
          <w:p w14:paraId="49CB0D5C">
            <w:pPr>
              <w:pStyle w:val="3"/>
              <w:rPr>
                <w:rFonts w:hint="eastAsia" w:ascii="仿宋" w:hAnsi="仿宋" w:eastAsia="仿宋"/>
                <w:sz w:val="24"/>
                <w:szCs w:val="32"/>
              </w:rPr>
            </w:pPr>
            <w:r>
              <w:rPr>
                <w:rFonts w:hint="eastAsia" w:ascii="仿宋" w:hAnsi="仿宋" w:eastAsia="仿宋"/>
                <w:b/>
                <w:bCs/>
                <w:sz w:val="24"/>
                <w:szCs w:val="32"/>
              </w:rPr>
              <w:t>评审成绩：</w:t>
            </w:r>
            <w:r>
              <w:rPr>
                <w:rFonts w:hint="eastAsia" w:ascii="仿宋" w:hAnsi="仿宋" w:eastAsia="仿宋"/>
                <w:sz w:val="24"/>
                <w:szCs w:val="32"/>
              </w:rPr>
              <w:t xml:space="preserve">  □ 合格      □ 基本合格     </w:t>
            </w:r>
            <w:r>
              <w:rPr>
                <w:rFonts w:ascii="仿宋" w:hAnsi="仿宋" w:eastAsia="仿宋"/>
                <w:sz w:val="24"/>
                <w:szCs w:val="32"/>
              </w:rPr>
              <w:t xml:space="preserve"> </w:t>
            </w:r>
            <w:r>
              <w:rPr>
                <w:rFonts w:hint="eastAsia" w:ascii="仿宋" w:hAnsi="仿宋" w:eastAsia="仿宋"/>
                <w:sz w:val="24"/>
                <w:szCs w:val="32"/>
              </w:rPr>
              <w:t>□ 不合格</w:t>
            </w:r>
          </w:p>
          <w:p w14:paraId="0DCC5C6A">
            <w:pPr>
              <w:pStyle w:val="3"/>
              <w:spacing w:after="0"/>
              <w:rPr>
                <w:rFonts w:ascii="仿宋" w:hAnsi="仿宋" w:eastAsia="仿宋"/>
                <w:sz w:val="24"/>
                <w:szCs w:val="32"/>
              </w:rPr>
            </w:pPr>
            <w:r>
              <w:rPr>
                <w:rFonts w:hint="eastAsia" w:ascii="仿宋" w:hAnsi="仿宋" w:eastAsia="仿宋"/>
                <w:b/>
                <w:bCs/>
                <w:sz w:val="24"/>
                <w:szCs w:val="32"/>
              </w:rPr>
              <w:t>考核结果：</w:t>
            </w:r>
            <w:r>
              <w:rPr>
                <w:rFonts w:hint="eastAsia" w:ascii="仿宋" w:hAnsi="仿宋" w:eastAsia="仿宋"/>
                <w:sz w:val="24"/>
                <w:szCs w:val="32"/>
              </w:rPr>
              <w:t xml:space="preserve">  □ 通过      □ 不通过</w:t>
            </w:r>
          </w:p>
          <w:p w14:paraId="740207C0">
            <w:pPr>
              <w:rPr>
                <w:rFonts w:ascii="仿宋" w:hAnsi="仿宋" w:eastAsia="仿宋"/>
              </w:rPr>
            </w:pPr>
          </w:p>
          <w:p w14:paraId="0CF04844">
            <w:pPr>
              <w:wordWrap w:val="0"/>
              <w:ind w:right="105"/>
              <w:jc w:val="right"/>
              <w:rPr>
                <w:rFonts w:ascii="仿宋" w:hAnsi="仿宋" w:eastAsia="仿宋" w:cs="仿宋_GB2312"/>
                <w:sz w:val="24"/>
              </w:rPr>
            </w:pPr>
            <w:r>
              <w:rPr>
                <w:rFonts w:hint="eastAsia" w:ascii="仿宋" w:hAnsi="仿宋" w:eastAsia="仿宋" w:cs="仿宋_GB2312"/>
                <w:sz w:val="24"/>
              </w:rPr>
              <w:t xml:space="preserve">组长（签名）：                 </w:t>
            </w:r>
          </w:p>
          <w:p w14:paraId="79110163">
            <w:pPr>
              <w:ind w:right="105"/>
              <w:jc w:val="right"/>
              <w:rPr>
                <w:rFonts w:hint="eastAsia" w:ascii="仿宋_GB2312" w:hAnsi="仿宋_GB2312" w:eastAsia="仿宋_GB2312" w:cs="仿宋_GB2312"/>
                <w:sz w:val="24"/>
              </w:rPr>
            </w:pPr>
            <w:r>
              <w:rPr>
                <w:rFonts w:hint="eastAsia" w:ascii="仿宋" w:hAnsi="仿宋" w:eastAsia="仿宋" w:cs="仿宋_GB2312"/>
                <w:sz w:val="24"/>
              </w:rPr>
              <w:t>年    月    日</w:t>
            </w:r>
          </w:p>
        </w:tc>
      </w:tr>
      <w:tr w14:paraId="5C090B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40" w:hRule="atLeast"/>
          <w:jc w:val="center"/>
        </w:trPr>
        <w:tc>
          <w:tcPr>
            <w:tcW w:w="8825" w:type="dxa"/>
            <w:gridSpan w:val="5"/>
            <w:tcBorders>
              <w:top w:val="single" w:color="auto" w:sz="4" w:space="0"/>
              <w:left w:val="single" w:color="auto" w:sz="8" w:space="0"/>
              <w:bottom w:val="single" w:color="auto" w:sz="4" w:space="0"/>
              <w:right w:val="single" w:color="auto" w:sz="8" w:space="0"/>
            </w:tcBorders>
            <w:vAlign w:val="center"/>
          </w:tcPr>
          <w:p w14:paraId="6EEB82E2">
            <w:pPr>
              <w:rPr>
                <w:rFonts w:hint="eastAsia" w:ascii="仿宋" w:hAnsi="仿宋" w:eastAsia="仿宋" w:cs="仿宋_GB2312"/>
                <w:b/>
                <w:bCs/>
                <w:sz w:val="24"/>
              </w:rPr>
            </w:pPr>
            <w:r>
              <w:rPr>
                <w:rFonts w:hint="eastAsia" w:ascii="仿宋" w:hAnsi="仿宋" w:eastAsia="仿宋" w:cs="仿宋_GB2312"/>
                <w:b/>
                <w:bCs/>
                <w:sz w:val="24"/>
              </w:rPr>
              <w:t>七、学院意见</w:t>
            </w:r>
          </w:p>
        </w:tc>
      </w:tr>
      <w:tr w14:paraId="031D1C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1701" w:hRule="atLeast"/>
          <w:jc w:val="center"/>
        </w:trPr>
        <w:tc>
          <w:tcPr>
            <w:tcW w:w="8825" w:type="dxa"/>
            <w:gridSpan w:val="5"/>
            <w:tcBorders>
              <w:top w:val="single" w:color="auto" w:sz="4" w:space="0"/>
              <w:left w:val="single" w:color="auto" w:sz="8" w:space="0"/>
              <w:bottom w:val="single" w:color="auto" w:sz="4" w:space="0"/>
              <w:right w:val="single" w:color="auto" w:sz="8" w:space="0"/>
            </w:tcBorders>
            <w:vAlign w:val="center"/>
          </w:tcPr>
          <w:p w14:paraId="61F9710C"/>
          <w:p w14:paraId="3972C136">
            <w:pPr>
              <w:pStyle w:val="2"/>
              <w:rPr>
                <w:b/>
                <w:bCs/>
              </w:rPr>
            </w:pPr>
          </w:p>
          <w:p w14:paraId="026B0505">
            <w:pPr>
              <w:pStyle w:val="3"/>
              <w:rPr>
                <w:b/>
                <w:bCs/>
              </w:rPr>
            </w:pPr>
          </w:p>
          <w:p w14:paraId="5EAC4078">
            <w:pPr>
              <w:rPr>
                <w:rFonts w:hint="eastAsia"/>
                <w:b/>
                <w:bCs/>
              </w:rPr>
            </w:pPr>
          </w:p>
          <w:p w14:paraId="11322985">
            <w:pPr>
              <w:ind w:right="105"/>
              <w:rPr>
                <w:rFonts w:hint="eastAsia" w:ascii="仿宋" w:hAnsi="仿宋" w:eastAsia="仿宋" w:cs="仿宋_GB2312"/>
                <w:b/>
                <w:bCs/>
                <w:sz w:val="24"/>
              </w:rPr>
            </w:pPr>
          </w:p>
          <w:p w14:paraId="4C6F8957">
            <w:pPr>
              <w:wordWrap w:val="0"/>
              <w:ind w:right="825"/>
              <w:jc w:val="right"/>
              <w:rPr>
                <w:rFonts w:ascii="仿宋" w:hAnsi="仿宋" w:eastAsia="仿宋" w:cs="仿宋_GB2312"/>
                <w:sz w:val="24"/>
              </w:rPr>
            </w:pPr>
            <w:r>
              <w:rPr>
                <w:rFonts w:hint="eastAsia" w:ascii="仿宋" w:hAnsi="仿宋" w:eastAsia="仿宋" w:cs="仿宋_GB2312"/>
                <w:sz w:val="24"/>
              </w:rPr>
              <w:t xml:space="preserve">负责人签字：                 </w:t>
            </w:r>
          </w:p>
          <w:p w14:paraId="6DF4A705">
            <w:pPr>
              <w:pStyle w:val="2"/>
              <w:ind w:left="4200" w:leftChars="2000"/>
              <w:rPr>
                <w:rFonts w:hint="eastAsia" w:ascii="仿宋" w:hAnsi="仿宋" w:eastAsia="仿宋" w:cs="仿宋_GB2312"/>
                <w:sz w:val="24"/>
              </w:rPr>
            </w:pPr>
            <w:r>
              <w:rPr>
                <w:rFonts w:hint="eastAsia" w:ascii="仿宋" w:hAnsi="仿宋" w:eastAsia="仿宋" w:cs="仿宋_GB2312"/>
                <w:sz w:val="24"/>
              </w:rPr>
              <w:t>（学院盖章）</w:t>
            </w:r>
          </w:p>
          <w:p w14:paraId="5DB8518B">
            <w:pPr>
              <w:ind w:right="105"/>
              <w:jc w:val="right"/>
              <w:rPr>
                <w:rFonts w:hint="eastAsia" w:ascii="仿宋_GB2312" w:hAnsi="仿宋_GB2312" w:eastAsia="仿宋_GB2312" w:cs="仿宋_GB2312"/>
                <w:sz w:val="24"/>
              </w:rPr>
            </w:pPr>
            <w:r>
              <w:rPr>
                <w:rFonts w:hint="eastAsia" w:ascii="仿宋" w:hAnsi="仿宋" w:eastAsia="仿宋" w:cs="仿宋_GB2312"/>
                <w:sz w:val="24"/>
              </w:rPr>
              <w:t>年    月    日</w:t>
            </w:r>
          </w:p>
        </w:tc>
      </w:tr>
    </w:tbl>
    <w:p w14:paraId="0EDC81D9">
      <w:pPr>
        <w:spacing w:line="20" w:lineRule="exact"/>
        <w:rPr>
          <w:rFonts w:hint="eastAsia"/>
        </w:rPr>
      </w:pPr>
    </w:p>
    <w:sectPr>
      <w:headerReference r:id="rId4" w:type="default"/>
      <w:footerReference r:id="rId5" w:type="default"/>
      <w:pgSz w:w="11906" w:h="16838"/>
      <w:pgMar w:top="2098" w:right="1474" w:bottom="1985" w:left="1588" w:header="851" w:footer="850" w:gutter="0"/>
      <w:pgNumType w:fmt="numberInDash"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Helvetica">
    <w:altName w:val="Arial"/>
    <w:panose1 w:val="020B0604020202020204"/>
    <w:charset w:val="00"/>
    <w:family w:val="swiss"/>
    <w:pitch w:val="default"/>
    <w:sig w:usb0="00000000" w:usb1="00000000" w:usb2="00000009" w:usb3="00000000" w:csb0="000001FF" w:csb1="00000000"/>
  </w:font>
  <w:font w:name="方正小标宋简体">
    <w:altName w:val="方正舒体"/>
    <w:panose1 w:val="00000000000000000000"/>
    <w:charset w:val="86"/>
    <w:family w:val="auto"/>
    <w:pitch w:val="default"/>
    <w:sig w:usb0="00000000" w:usb1="00000000" w:usb2="00000012" w:usb3="00000000" w:csb0="00040001"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楷体">
    <w:panose1 w:val="02010609060101010101"/>
    <w:charset w:val="86"/>
    <w:family w:val="modern"/>
    <w:pitch w:val="default"/>
    <w:sig w:usb0="800002BF" w:usb1="38CF7CFA" w:usb2="00000016" w:usb3="00000000" w:csb0="00040001" w:csb1="00000000"/>
  </w:font>
  <w:font w:name="仿宋_GB2312">
    <w:altName w:val="仿宋"/>
    <w:panose1 w:val="00000000000000000000"/>
    <w:charset w:val="86"/>
    <w:family w:val="modern"/>
    <w:pitch w:val="default"/>
    <w:sig w:usb0="00000000" w:usb1="00000000" w:usb2="00000010" w:usb3="00000000" w:csb0="00040000" w:csb1="00000000"/>
  </w:font>
  <w:font w:name="Arial">
    <w:panose1 w:val="020B0604020202020204"/>
    <w:charset w:val="00"/>
    <w:family w:val="auto"/>
    <w:pitch w:val="default"/>
    <w:sig w:usb0="E0002EFF" w:usb1="C000785B" w:usb2="00000009" w:usb3="00000000" w:csb0="400001FF" w:csb1="FFFF0000"/>
  </w:font>
  <w:font w:name="KSOFE44F9426">
    <w:panose1 w:val="02010609060101010101"/>
    <w:charset w:val="86"/>
    <w:family w:val="auto"/>
    <w:pitch w:val="default"/>
    <w:sig w:usb0="00000001" w:usb1="00000000"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B0A30E">
    <w:pPr>
      <w:pStyle w:val="6"/>
      <w:jc w:val="both"/>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C94E7">
    <w:pPr>
      <w:pStyle w:val="6"/>
      <w:jc w:val="center"/>
      <w:rPr>
        <w:rFonts w:hint="eastAsia"/>
        <w:sz w:val="21"/>
        <w:szCs w:val="32"/>
      </w:rPr>
    </w:pPr>
    <w:r>
      <w:rPr>
        <w:sz w:val="21"/>
        <w:szCs w:val="32"/>
      </w:rPr>
      <w:fldChar w:fldCharType="begin"/>
    </w:r>
    <w:r>
      <w:rPr>
        <w:sz w:val="21"/>
        <w:szCs w:val="32"/>
      </w:rPr>
      <w:instrText xml:space="preserve">PAGE   \* MERGEFORMAT</w:instrText>
    </w:r>
    <w:r>
      <w:rPr>
        <w:sz w:val="21"/>
        <w:szCs w:val="32"/>
      </w:rPr>
      <w:fldChar w:fldCharType="separate"/>
    </w:r>
    <w:r>
      <w:rPr>
        <w:sz w:val="21"/>
        <w:szCs w:val="32"/>
        <w:lang w:val="zh-CN"/>
      </w:rPr>
      <w:t>2</w:t>
    </w:r>
    <w:r>
      <w:rPr>
        <w:sz w:val="21"/>
        <w:szCs w:val="32"/>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17D229">
    <w:pPr>
      <w:pStyle w:val="2"/>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ocumentProtection w:enforcement="0"/>
  <w:defaultTabStop w:val="420"/>
  <w:drawingGridHorizontalSpacing w:val="105"/>
  <w:drawingGridVerticalSpacing w:val="156"/>
  <w:displayHorizontalDrawingGridEvery w:val="2"/>
  <w:displayVerticalDrawingGridEvery w:val="2"/>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docVars>
    <w:docVar w:name="commondata" w:val="eyJoZGlkIjoiYmFmYWI2OTgwZTFmOGZkMTQ5ZDA1MTFiZGNkY2VkNjUifQ=="/>
  </w:docVars>
  <w:rsids>
    <w:rsidRoot w:val="00575D5D"/>
    <w:rsid w:val="00006429"/>
    <w:rsid w:val="00014205"/>
    <w:rsid w:val="0003000D"/>
    <w:rsid w:val="00072776"/>
    <w:rsid w:val="00075B1A"/>
    <w:rsid w:val="000C76BB"/>
    <w:rsid w:val="000E4430"/>
    <w:rsid w:val="000E4FB4"/>
    <w:rsid w:val="000E58C7"/>
    <w:rsid w:val="001263C5"/>
    <w:rsid w:val="001510C6"/>
    <w:rsid w:val="0019301C"/>
    <w:rsid w:val="001967CC"/>
    <w:rsid w:val="001B4AC3"/>
    <w:rsid w:val="00210C1C"/>
    <w:rsid w:val="002113FA"/>
    <w:rsid w:val="00211E07"/>
    <w:rsid w:val="00215930"/>
    <w:rsid w:val="00226E4A"/>
    <w:rsid w:val="002271C6"/>
    <w:rsid w:val="00275D62"/>
    <w:rsid w:val="0028568A"/>
    <w:rsid w:val="002C4A11"/>
    <w:rsid w:val="002C529F"/>
    <w:rsid w:val="00331B6B"/>
    <w:rsid w:val="0034446F"/>
    <w:rsid w:val="003F3E58"/>
    <w:rsid w:val="003F46BA"/>
    <w:rsid w:val="00430DB1"/>
    <w:rsid w:val="004372F0"/>
    <w:rsid w:val="004844E4"/>
    <w:rsid w:val="004E4E74"/>
    <w:rsid w:val="004F29BF"/>
    <w:rsid w:val="00506E76"/>
    <w:rsid w:val="00541DCF"/>
    <w:rsid w:val="005540D7"/>
    <w:rsid w:val="00567E55"/>
    <w:rsid w:val="00575D5D"/>
    <w:rsid w:val="00591EEB"/>
    <w:rsid w:val="00595A73"/>
    <w:rsid w:val="005D0D84"/>
    <w:rsid w:val="005F1810"/>
    <w:rsid w:val="005F5541"/>
    <w:rsid w:val="0061196E"/>
    <w:rsid w:val="0062461C"/>
    <w:rsid w:val="00627ECE"/>
    <w:rsid w:val="006576CF"/>
    <w:rsid w:val="00665F48"/>
    <w:rsid w:val="0067642E"/>
    <w:rsid w:val="00681DAA"/>
    <w:rsid w:val="00696510"/>
    <w:rsid w:val="006A4BAC"/>
    <w:rsid w:val="006B04FD"/>
    <w:rsid w:val="006B4033"/>
    <w:rsid w:val="006B6C0F"/>
    <w:rsid w:val="006C1F8C"/>
    <w:rsid w:val="006C5480"/>
    <w:rsid w:val="00712D9F"/>
    <w:rsid w:val="00733E89"/>
    <w:rsid w:val="00744328"/>
    <w:rsid w:val="007453FC"/>
    <w:rsid w:val="007472CE"/>
    <w:rsid w:val="00750032"/>
    <w:rsid w:val="007C2927"/>
    <w:rsid w:val="007D2868"/>
    <w:rsid w:val="00803478"/>
    <w:rsid w:val="00810A32"/>
    <w:rsid w:val="00822003"/>
    <w:rsid w:val="008525DF"/>
    <w:rsid w:val="008622F3"/>
    <w:rsid w:val="00870723"/>
    <w:rsid w:val="008B4DC8"/>
    <w:rsid w:val="008D4466"/>
    <w:rsid w:val="008E4677"/>
    <w:rsid w:val="008F7876"/>
    <w:rsid w:val="00913BD8"/>
    <w:rsid w:val="00921AA4"/>
    <w:rsid w:val="00965315"/>
    <w:rsid w:val="00984BEC"/>
    <w:rsid w:val="009867F8"/>
    <w:rsid w:val="009A3C72"/>
    <w:rsid w:val="009C58F9"/>
    <w:rsid w:val="009E1683"/>
    <w:rsid w:val="00A151DD"/>
    <w:rsid w:val="00A37CA9"/>
    <w:rsid w:val="00A53D08"/>
    <w:rsid w:val="00A612B7"/>
    <w:rsid w:val="00AA0063"/>
    <w:rsid w:val="00AF40FA"/>
    <w:rsid w:val="00B049C0"/>
    <w:rsid w:val="00B316F6"/>
    <w:rsid w:val="00BE035E"/>
    <w:rsid w:val="00C233CC"/>
    <w:rsid w:val="00C400B8"/>
    <w:rsid w:val="00C42280"/>
    <w:rsid w:val="00C80C27"/>
    <w:rsid w:val="00CB00D4"/>
    <w:rsid w:val="00CB3397"/>
    <w:rsid w:val="00CB3C18"/>
    <w:rsid w:val="00CE6464"/>
    <w:rsid w:val="00CF4855"/>
    <w:rsid w:val="00CF681F"/>
    <w:rsid w:val="00D02DAA"/>
    <w:rsid w:val="00D24434"/>
    <w:rsid w:val="00D33168"/>
    <w:rsid w:val="00D44A49"/>
    <w:rsid w:val="00D459CE"/>
    <w:rsid w:val="00D50722"/>
    <w:rsid w:val="00D541B1"/>
    <w:rsid w:val="00D63AE1"/>
    <w:rsid w:val="00D775D1"/>
    <w:rsid w:val="00DC48EC"/>
    <w:rsid w:val="00DC7C24"/>
    <w:rsid w:val="00DE56E7"/>
    <w:rsid w:val="00E127AD"/>
    <w:rsid w:val="00E160C2"/>
    <w:rsid w:val="00E1686C"/>
    <w:rsid w:val="00E50E61"/>
    <w:rsid w:val="00E60518"/>
    <w:rsid w:val="00EF1FEF"/>
    <w:rsid w:val="00F3002E"/>
    <w:rsid w:val="00F47D79"/>
    <w:rsid w:val="00F51B05"/>
    <w:rsid w:val="00F54B80"/>
    <w:rsid w:val="00FA6CC6"/>
    <w:rsid w:val="00FB457D"/>
    <w:rsid w:val="00FD031E"/>
    <w:rsid w:val="00FD1509"/>
    <w:rsid w:val="00FF63EC"/>
    <w:rsid w:val="02DD3061"/>
    <w:rsid w:val="03EF1D54"/>
    <w:rsid w:val="04766699"/>
    <w:rsid w:val="057E12A3"/>
    <w:rsid w:val="0694011B"/>
    <w:rsid w:val="075F150C"/>
    <w:rsid w:val="076D1827"/>
    <w:rsid w:val="07D3753C"/>
    <w:rsid w:val="0C59512F"/>
    <w:rsid w:val="0CF40D3B"/>
    <w:rsid w:val="0E490BB7"/>
    <w:rsid w:val="11C17641"/>
    <w:rsid w:val="14FE4178"/>
    <w:rsid w:val="152139F9"/>
    <w:rsid w:val="176F8B67"/>
    <w:rsid w:val="1CA76EDA"/>
    <w:rsid w:val="1CEF6E34"/>
    <w:rsid w:val="1E777D51"/>
    <w:rsid w:val="1EF67B4A"/>
    <w:rsid w:val="1FF78F0B"/>
    <w:rsid w:val="21443DA2"/>
    <w:rsid w:val="22207C4D"/>
    <w:rsid w:val="22A3058D"/>
    <w:rsid w:val="26612B51"/>
    <w:rsid w:val="273B4BEE"/>
    <w:rsid w:val="281E368F"/>
    <w:rsid w:val="28532D56"/>
    <w:rsid w:val="29534671"/>
    <w:rsid w:val="29E555D9"/>
    <w:rsid w:val="2BABCD11"/>
    <w:rsid w:val="2EB724BA"/>
    <w:rsid w:val="2F410C02"/>
    <w:rsid w:val="2FF62A99"/>
    <w:rsid w:val="3124765B"/>
    <w:rsid w:val="32A157B9"/>
    <w:rsid w:val="32F5669E"/>
    <w:rsid w:val="331C2796"/>
    <w:rsid w:val="35E5383A"/>
    <w:rsid w:val="366D7CF0"/>
    <w:rsid w:val="36DC3E2B"/>
    <w:rsid w:val="37DBF5EB"/>
    <w:rsid w:val="395446BF"/>
    <w:rsid w:val="3B4A312C"/>
    <w:rsid w:val="3E267A81"/>
    <w:rsid w:val="3E7E6798"/>
    <w:rsid w:val="3ED55F8A"/>
    <w:rsid w:val="3EE83530"/>
    <w:rsid w:val="3F341157"/>
    <w:rsid w:val="3FE76DF1"/>
    <w:rsid w:val="3FEBCECA"/>
    <w:rsid w:val="40432A79"/>
    <w:rsid w:val="40EF4827"/>
    <w:rsid w:val="43BF0140"/>
    <w:rsid w:val="491D1296"/>
    <w:rsid w:val="49D804B1"/>
    <w:rsid w:val="49DE053E"/>
    <w:rsid w:val="4B83338A"/>
    <w:rsid w:val="4D0E072B"/>
    <w:rsid w:val="51D3784E"/>
    <w:rsid w:val="5334431C"/>
    <w:rsid w:val="557C3A21"/>
    <w:rsid w:val="56113A9C"/>
    <w:rsid w:val="58356D78"/>
    <w:rsid w:val="5AAC27D3"/>
    <w:rsid w:val="5CAD64DF"/>
    <w:rsid w:val="5CD7C3FD"/>
    <w:rsid w:val="5EFBF279"/>
    <w:rsid w:val="5FF50C44"/>
    <w:rsid w:val="65C40239"/>
    <w:rsid w:val="66794A10"/>
    <w:rsid w:val="697E84E6"/>
    <w:rsid w:val="6B3B2294"/>
    <w:rsid w:val="6BAD2A66"/>
    <w:rsid w:val="6DB602F7"/>
    <w:rsid w:val="6EFF31A4"/>
    <w:rsid w:val="6EFF6F2D"/>
    <w:rsid w:val="6F1BEFF6"/>
    <w:rsid w:val="6FB7DAE2"/>
    <w:rsid w:val="6FEE47A8"/>
    <w:rsid w:val="710938D9"/>
    <w:rsid w:val="71600CA6"/>
    <w:rsid w:val="71947ED4"/>
    <w:rsid w:val="71FA76CC"/>
    <w:rsid w:val="72E6D6EB"/>
    <w:rsid w:val="74F837AC"/>
    <w:rsid w:val="773E6D3B"/>
    <w:rsid w:val="775FE5D6"/>
    <w:rsid w:val="776F8C36"/>
    <w:rsid w:val="777F2253"/>
    <w:rsid w:val="77860D3A"/>
    <w:rsid w:val="77CF48BF"/>
    <w:rsid w:val="77DED8D8"/>
    <w:rsid w:val="77EB1352"/>
    <w:rsid w:val="79ACEF7A"/>
    <w:rsid w:val="79AE3444"/>
    <w:rsid w:val="79CF06A8"/>
    <w:rsid w:val="7CA77ABA"/>
    <w:rsid w:val="7DA76E6F"/>
    <w:rsid w:val="7DAF1ABC"/>
    <w:rsid w:val="7EFBA0B3"/>
    <w:rsid w:val="7F3F1A7D"/>
    <w:rsid w:val="7F76BF22"/>
    <w:rsid w:val="7F7F27C2"/>
    <w:rsid w:val="7F8244DD"/>
    <w:rsid w:val="7FB5888A"/>
    <w:rsid w:val="7FDC7D08"/>
    <w:rsid w:val="7FED2A3C"/>
    <w:rsid w:val="7FFF2746"/>
    <w:rsid w:val="8F3646D6"/>
    <w:rsid w:val="BF1B6924"/>
    <w:rsid w:val="BFEB62FC"/>
    <w:rsid w:val="D3D11F31"/>
    <w:rsid w:val="DBF69388"/>
    <w:rsid w:val="DF7F257F"/>
    <w:rsid w:val="DFABE7BE"/>
    <w:rsid w:val="DFDFDEDE"/>
    <w:rsid w:val="DFFA6890"/>
    <w:rsid w:val="E77F45F3"/>
    <w:rsid w:val="ECDEF187"/>
    <w:rsid w:val="EDF767C5"/>
    <w:rsid w:val="EEBA3067"/>
    <w:rsid w:val="EFFFFA99"/>
    <w:rsid w:val="F12C66CE"/>
    <w:rsid w:val="F723D92F"/>
    <w:rsid w:val="F7770E83"/>
    <w:rsid w:val="F9FE02B9"/>
    <w:rsid w:val="FA6BA3DC"/>
    <w:rsid w:val="FD1381F8"/>
    <w:rsid w:val="FD7FCF4D"/>
    <w:rsid w:val="FD98AAD9"/>
    <w:rsid w:val="FEEE1AF8"/>
    <w:rsid w:val="FEFF36F7"/>
    <w:rsid w:val="FF6DE4D3"/>
    <w:rsid w:val="FFEF8F05"/>
    <w:rsid w:val="FFF74C7D"/>
    <w:rsid w:val="FFFCA4F8"/>
    <w:rsid w:val="FFFE4F9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4">
    <w:name w:val="heading 1"/>
    <w:basedOn w:val="1"/>
    <w:next w:val="1"/>
    <w:link w:val="14"/>
    <w:qFormat/>
    <w:uiPriority w:val="0"/>
    <w:pPr>
      <w:keepNext/>
      <w:keepLines/>
      <w:spacing w:before="340" w:after="330" w:line="576" w:lineRule="auto"/>
      <w:outlineLvl w:val="0"/>
    </w:pPr>
    <w:rPr>
      <w:b/>
      <w:kern w:val="44"/>
      <w:sz w:val="44"/>
    </w:rPr>
  </w:style>
  <w:style w:type="character" w:default="1" w:styleId="11">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2">
    <w:name w:val="header"/>
    <w:basedOn w:val="1"/>
    <w:next w:val="3"/>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3">
    <w:name w:val="Body Text"/>
    <w:basedOn w:val="1"/>
    <w:next w:val="1"/>
    <w:uiPriority w:val="0"/>
    <w:pPr>
      <w:spacing w:after="120"/>
    </w:pPr>
  </w:style>
  <w:style w:type="paragraph" w:styleId="5">
    <w:name w:val="annotation text"/>
    <w:basedOn w:val="1"/>
    <w:uiPriority w:val="0"/>
    <w:pPr>
      <w:jc w:val="left"/>
    </w:pPr>
  </w:style>
  <w:style w:type="paragraph" w:styleId="6">
    <w:name w:val="footer"/>
    <w:basedOn w:val="1"/>
    <w:link w:val="15"/>
    <w:uiPriority w:val="99"/>
    <w:pPr>
      <w:tabs>
        <w:tab w:val="center" w:pos="4153"/>
        <w:tab w:val="right" w:pos="8306"/>
      </w:tabs>
      <w:snapToGrid w:val="0"/>
      <w:jc w:val="left"/>
    </w:pPr>
    <w:rPr>
      <w:sz w:val="18"/>
    </w:rPr>
  </w:style>
  <w:style w:type="paragraph" w:styleId="7">
    <w:name w:val="footnote text"/>
    <w:basedOn w:val="1"/>
    <w:uiPriority w:val="0"/>
    <w:pPr>
      <w:snapToGrid w:val="0"/>
      <w:jc w:val="left"/>
    </w:pPr>
    <w:rPr>
      <w:sz w:val="18"/>
    </w:rPr>
  </w:style>
  <w:style w:type="paragraph" w:styleId="8">
    <w:name w:val="Normal (Web)"/>
    <w:basedOn w:val="1"/>
    <w:uiPriority w:val="0"/>
    <w:pPr>
      <w:spacing w:before="100" w:beforeAutospacing="1" w:after="100" w:afterAutospacing="1"/>
      <w:jc w:val="left"/>
    </w:pPr>
    <w:rPr>
      <w:kern w:val="0"/>
      <w:sz w:val="24"/>
    </w:rPr>
  </w:style>
  <w:style w:type="table" w:styleId="10">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2">
    <w:name w:val="Hyperlink"/>
    <w:uiPriority w:val="0"/>
    <w:rPr>
      <w:color w:val="0000FF"/>
      <w:u w:val="single"/>
    </w:rPr>
  </w:style>
  <w:style w:type="character" w:styleId="13">
    <w:name w:val="footnote reference"/>
    <w:uiPriority w:val="0"/>
    <w:rPr>
      <w:vertAlign w:val="superscript"/>
    </w:rPr>
  </w:style>
  <w:style w:type="character" w:customStyle="1" w:styleId="14">
    <w:name w:val="标题 1 字符"/>
    <w:link w:val="4"/>
    <w:qFormat/>
    <w:uiPriority w:val="0"/>
    <w:rPr>
      <w:b/>
      <w:kern w:val="44"/>
      <w:sz w:val="44"/>
    </w:rPr>
  </w:style>
  <w:style w:type="character" w:customStyle="1" w:styleId="15">
    <w:name w:val="页脚 字符"/>
    <w:link w:val="6"/>
    <w:uiPriority w:val="99"/>
    <w:rPr>
      <w:kern w:val="2"/>
      <w:sz w:val="18"/>
      <w:szCs w:val="24"/>
    </w:rPr>
  </w:style>
  <w:style w:type="paragraph" w:customStyle="1" w:styleId="16">
    <w:name w:val="p1"/>
    <w:basedOn w:val="1"/>
    <w:uiPriority w:val="0"/>
    <w:pPr>
      <w:jc w:val="left"/>
    </w:pPr>
    <w:rPr>
      <w:rFonts w:ascii="Helvetica" w:hAnsi="Helvetica" w:eastAsia="Helvetica"/>
      <w:kern w:val="0"/>
      <w:sz w:val="32"/>
      <w:szCs w:val="32"/>
    </w:rPr>
  </w:style>
  <w:style w:type="paragraph" w:customStyle="1" w:styleId="17">
    <w:name w:val="WPSOffice手动目录 1"/>
    <w:uiPriority w:val="0"/>
    <w:rPr>
      <w:rFonts w:ascii="Times New Roman" w:hAnsi="Times New Roman" w:eastAsia="宋体" w:cs="Times New Roman"/>
      <w:lang w:val="en-US" w:eastAsia="zh-CN" w:bidi="ar-SA"/>
    </w:rPr>
  </w:style>
  <w:style w:type="paragraph" w:customStyle="1" w:styleId="18">
    <w:name w:val="Revision"/>
    <w:unhideWhenUsed/>
    <w:uiPriority w:val="99"/>
    <w:rPr>
      <w:rFonts w:ascii="Times New Roman" w:hAnsi="Times New Roman"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29</Pages>
  <Words>578</Words>
  <Characters>603</Characters>
  <Lines>1764</Lines>
  <Paragraphs>1384</Paragraphs>
  <TotalTime>26</TotalTime>
  <ScaleCrop>false</ScaleCrop>
  <LinksUpToDate>false</LinksUpToDate>
  <CharactersWithSpaces>611</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2026-06-24T09:25:00Z</dcterms:created>
  <dc:creator>Administrator</dc:creator>
  <cp:lastModifiedBy>喻炫琪</cp:lastModifiedBy>
  <cp:lastPrinted>2023-11-20T09:27:00Z</cp:lastPrinted>
  <dcterms:modified xsi:type="dcterms:W3CDTF">2026-06-24T10:00:37Z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ICV">
    <vt:lpwstr>EB4ECA3FA31446D9B187E9593CD29B1D_13</vt:lpwstr>
  </property>
  <property fmtid="{D5CDD505-2E9C-101B-9397-08002B2CF9AE}" pid="4" name="GrammarlyDocumentId">
    <vt:lpwstr>9b4c7c03ed2e16aa9ad970f0d6467f977a3ef406bba4ad61b6bd558229d9917d</vt:lpwstr>
  </property>
  <property fmtid="{D5CDD505-2E9C-101B-9397-08002B2CF9AE}" pid="5" name="KSOTemplateDocerSaveRecord">
    <vt:lpwstr>eyJoZGlkIjoiYTlmODgxY2UxZGFmNzRiYTA1NTkwYzBjMzk3NTRlNmMiLCJ1c2VySWQiOiI4NTY2ODQxMzgifQ==</vt:lpwstr>
  </property>
</Properties>
</file>