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冻结索引收录第182号令官方PDF的22页，且该文档不在冻结排除清单中；冻结候选表未检出该文档。2018年版治理准则未见于按文档标题和标识检查的索引条目，但不能据此排除其以其他形式包含在其他来源中。DOC343文本同时包含2023年修改决定及随后重新公布的章程指引全文；冻结方案排除文本版DOC343，但收录对应官方PDF（OFFICIAL-DOC343，59页）。G2的冻结top-10中有7题检出该PDF物理第2页，均属修改决定部分；该计数不验证语义支持或具体时点适用[25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r>
        <ns0:t>补充开展跨模型族、跨年度的小样本探索：对四家公司2023、2024年报的8个既有问题，Qwen3-0.6B（本地固定权重、FP16 GPU）与此前K3服务别名单次回答使用相同的保存用户提示和初始证据，均获得8条非空输出。以已有助手提取、非独立裁定的勘误后参考为准，Qwen与K3的成员宏F1分别为0.651和0.975，日期宏F1分别为0.600和0.953，会议次数精确匹配分别为3/8和8/8；严格输出结构合规分别为0/8和8/8（图9）。字段F1即使在结构不合规时也计算，不能视为格式或引用支持准确率。原冻结参考下成员宏F1分别为0.653和0.989；勘误发生在已有K3输出之后。该补充为事后分析、每题每模型一次生成，样本只有4家公司；Qwen采样温度0.7、最多2048生成token，K3温度1、最多8192输出token，模型规模、计算和输出预算不同，K3底层版本未独立核实，因而不能归因于模型族或声称跨年度普遍泛化，也不能证明法规适用或语义引用支持。</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图9 探索性跨模型对照。基于8题既有助手提取参考的字段匹配与结构检查；不同模型规模、预算和未独立验证的参考限制了解释。</ns0:t>
      </ns0:r>
    </ns0:p>
    <ns0:p>
      <ns0:pPr/>
      <ns0:r>
        <ns0:t>同一8题的既有K3输出还允许对两轮检索规划Agent与三轮固定证据修订进行事后对照。两方法从相同初始证据出发，但Agent改变最终证据；各有1题在不同问题上失败，仅6题形成双方均成功的配对，覆盖4家公司。按勘误后助手提取参考，Agent与固定证据修订的成员宏F1分别为0.833和0.985，日期宏F1为0.786和0.952，三个字段均精确匹配分别为4/6和5/6（图10）。6对中两者各记录18次调用，供应商报告总token分别为102600和97441；调用数相同不意味着计算、输出或上下文预算一致。对全部8题，按未观察三字段匹配值在[0,1]取界并保留可用单侧结果，勘误参考下Agent减修订的均差范围为[-0.375,-0.125]；原冻结参考下范围为[-0.250,0]。这些是对既有输出的条件性和有界敏感性分析，参考未独立裁定、样本小且纠错发生于看过先前输出之后，不能据此断言Agent普遍无效、归因于检索策略或验证引用语义。未新增模型调用或人工标注。</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图10 Agent与三轮固定证据修订的6个可用配对。两题因不同条件失败而未配对；字段匹配不验证语义引用支持。</ns0:t>
      </ns0:r>
    </ns0:p>
    <ns0:p>
      <ns0:r>
        <ns0:t>事后格式提示开发试验。针对观察到的 Qwen 引用字段格式错误，在原提示末尾增加空结构示例，并以相同模型、八道题、证据、采样设置和种子重新生成。按事后勘误的既有助手提取参考，结构合规由 0/8 增至 3/8，成员宏平均 F1 由 0.651 至 0.678，日期宏平均 F1 由 0.600 降至 0.558，会议次数完全匹配由 3/8 至 6/8，三项同时完全匹配均为 1/8。原提示与示例提示分别使用输入 38998 和 39710 tokens、输出 2695 和 1114 tokens。该提示根据同一批已观察错误设计，属于事后开发而非独立测试；一次采样和小样本不能建立稳健改进，结构合规也不能证明引用支持答案。既有参考未经独立验证，本试验未新增人工标注。</ns0:t>
      </ns0:r>
      <ns0:r>
        <ns0:t xml:space="preserve"> 对引用的机械审计进一步发现：示例提示下仅 2/8 条回答的三个字段均有非空、可在输入材料中找到的有效编号；另有一条虽满足字段类型，却把日期写入引用列表。此项检查不判断所引材料是否支持具体内容。</ns0:t>
      </ns0:r>
    </ns0:p>
    <ns0:p>
      <ns0:pPr>
        <ns0:jc ns0:val="center"/>
      </ns0:pPr>
      <ns0:r>
        <ns0:drawing>
          <ns2:inline>
            <ns2:extent cx="4572000" cy="2931645"/>
            <ns2:docPr id="12" name="Picture 12"/>
            <ns2:cNvGraphicFramePr>
              <ns3:graphicFrameLocks noChangeAspect="1"/>
            </ns2:cNvGraphicFramePr>
            <ns3:graphic>
              <ns3:graphicData uri="http://schemas.openxmlformats.org/drawingml/2006/picture">
                <ns4:pic>
                  <ns4:nvPicPr>
                    <ns4:cNvPr id="0" name="schema_prompt_development.png"/>
                    <ns4:cNvPicPr/>
                  </ns4:nvPicPr>
                  <ns4:blipFill>
                    <ns3:blip ns5:embed="rId34"/>
                    <ns3:stretch>
                      <ns3:fillRect/>
                    </ns3:stretch>
                  </ns4:blipFill>
                  <ns4:spPr>
                    <ns3:xfrm>
                      <ns3:off x="0" y="0"/>
                      <ns3:ext cx="4572000" cy="2931645"/>
                    </ns3:xfrm>
                    <ns3:prstGeom prst="rect"/>
                  </ns4:spPr>
                </ns4:pic>
              </ns3:graphicData>
            </ns3:graphic>
          </ns2:inline>
        </ns0:drawing>
      </ns0:r>
    </ns0:p>
    <ns0:p>
      <ns0:pPr>
        <ns0:jc ns0:val="center"/>
      </ns0:pPr>
      <ns0:r>
        <ns0:t>图 11  同一模型的事后格式提示开发试验。使用既有助手提取并事后勘误的参考；结构合规不等于引用语义正确。</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文主实验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r>
        <ns0:t>跨模型补充运行的固定提示、模型版本、逐题输出及评分结果保存在项目材料中；Qwen运行目录为results/runs/qwen_cuda_cross_model_20261029_01，复算摘要为results/runs/qwen_cuda_cross_model_score_20261029_04/summary.json，对应脚本为scripts/run_qwen_cuda_cross_model_20261029.py和scripts/score_qwen_cross_model_20261029.py。两版既有参考及其来源均保留，未新增人工标注。</ns0:t>
      </ns0:r>
    </ns0:p>
    <ns0:p>
      <ns0:pPr/>
      <ns0:r>
        <ns0:t>复算脚本scripts/reanalyze_saved_agent_pairs_20261029.py及结果results/runs/agent_pairs_reanalysis_20261029_01/agent_pair_comparison.json记录既有Agent和固定证据修订的来源、失败、配对及敏感性界。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完整跨年度与Agent扩展材料保留在原合并扩展稿中；本稿仅补充探索性小样本，不计入主实验主要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