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预算回放、BM25对照、来源删除和同系列服务版本分析用于补充解释，详见补充材料；这些探索性分析不作为主文的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配置简化、来源删除、预算及排序诊断等扩展分析置于补充材料，保留其探索性定位、负结果与失败记录。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这些工作聚焦年报内部问答基准；本文研究的是公司披露与独立法规证据的联合评价，并在已有20家公司60题的双人评分上区分来源分路与提示约束。本文不将金融文档检索或年报QA基准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更细的候选预算、BM25与定位粒度、结构引用和调用资源诊断见补充材料；这些分析用于解释运行边界，不与主实验评分合并。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 xml:space="preserve">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一个面向实际文件的系统而言，原文可回放和来源组织清晰有独立的工程价值。它们使材料可回放，便于事后复核时定位所用材料，并为区分解析、检索、上下文组装和生成错误提供记录。然而，这种工程价值不能抵消回答质量上的负结果；如果简化配置更好，应保留该现象，而不是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 xml:space="preserve">删除一类来源后的评分下降与材料互补性的解释一致，但该消融同时改变证据内容和上下文长度，不能单独识别来源互补效应。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 xml:space="preserve">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3(4), 2009: 333–389.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