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双路检索及相同证据下的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20,000次公司聚类bootstrap点对点95%区间[0.110, 0.355]），但全60题的缺失数据界跨0。G3相较G2在38个配对问题上的差为0.013（区间[0.000, 0.039]）。双路检索使两类来源同现率由68.3%升至100%，但平均参考位置覆盖未提高，法规参考位置覆盖仍有限。观察到的总分差异主要集中在法规评分维度；引用及不确定性维度存在天花板。结果仅适用于本研究样本、模型和评分协议。</w:t>
      </w:r>
    </w:p>
    <w:p>
      <w:pPr>
        <w:widowControl/>
      </w:pPr>
      <w:r>
        <w:t>关键词：检索增强生成；年度报告；法规证据；来源追溯；预算回放；人工评价</w:t>
      </w:r>
    </w:p>
    <w:p>
      <w:pPr>
        <w:pStyle w:val="Heading1"/>
      </w:pPr>
      <w:r>
        <w:t>Abstract</w:t>
      </w:r>
    </w:p>
    <w:p>
      <w:pPr>
        <w:widowControl/>
      </w:pPr>
      <w:r>
        <w:t>Listed-company evaluation requires both annual-report disclosures and relevant regulatory evidence. This study asks whether source-separated retrieval improves answer ratings and evidence supply over pooled retrieval. We build a traceable dual-source RAG pipeline and compare merged retrieval, dual retrieval, and source-role prompting with identical evidence on 60 questions from the 2024 annual reports of 20 companies.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dual retrieval exceeds pooled retrieval by 0.228 points on a company-macro 0–8 scale (20,000-draw company-clustered pointwise 95% interval: [0.110, 0.355]); however, the missing-outcome bounds for all 60 questions include zero. Source-role prompting adds 0.013 points on 38 observed pairs (interval: [0.000, 0.039]). Dual retrieval increases two-source presence from 68.3% to 100%, while mean reference-location coverage does not improve and regulatory reference coverage remains limited. The observed score difference is concentrated in the regulation dimension; citation and uncertainty ratings show ceiling effects. These findings are limited to the sampled companies, model configuration, observed pairs, and rating protocol.</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w:t>
      </w:r>
    </w:p>
    <w:p>
      <w:pPr>
        <w:widowControl/>
      </w:pPr>
      <w:r>
        <w: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w:t>
      </w:r>
    </w:p>
    <w:p>
      <w:pPr>
        <w:widowControl/>
      </w:pPr>
      <w:r>
        <w: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w:t>
      </w:r>
      <w:r/>
    </w:p>
    <w:p>
      <w:pPr>
        <w:keepNext/>
      </w:pPr>
      <w:r>
        <w:drawing>
          <wp:inline xmlns:a="http://schemas.openxmlformats.org/drawingml/2006/main" xmlns:pic="http://schemas.openxmlformats.org/drawingml/2006/picture">
            <wp:extent cx="5868000" cy="2726175"/>
            <wp:docPr id="1" name="Picture 1"/>
            <wp:cNvGraphicFramePr>
              <a:graphicFrameLocks noChangeAspect="1"/>
            </wp:cNvGraphicFramePr>
            <a:graphic>
              <a:graphicData uri="http://schemas.openxmlformats.org/drawingml/2006/picture">
                <pic:pic>
                  <pic:nvPicPr>
                    <pic:cNvPr id="0" name="fig01_schematic.png"/>
                    <pic:cNvPicPr/>
                  </pic:nvPicPr>
                  <pic:blipFill>
                    <a:blip r:embed="rId10"/>
                    <a:stretch>
                      <a:fillRect/>
                    </a:stretch>
                  </pic:blipFill>
                  <pic:spPr>
                    <a:xfrm>
                      <a:off x="0" y="0"/>
                      <a:ext cx="5868000" cy="2726175"/>
                    </a:xfrm>
                    <a:prstGeom prst="rect"/>
                  </pic:spPr>
                </pic:pic>
              </a:graphicData>
            </a:graphic>
          </wp: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w:t>
      </w:r>
    </w:p>
    <w:p>
      <w:pPr>
        <w:widowControl/>
      </w:pPr>
      <w:r>
        <w: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r>
        <w:t xml:space="preserve"> 代表性研究与本研究的差异归纳见表1。</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ARQA / CFQA [28,29]</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年报表格—文本QA基准与答案证据评估</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聚焦年报内部问答；本文补充法规来源角色与来源组织对照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作为后续强基线，当前仅固定检索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r>
        <w:t xml:space="preserve"> 符号及其含义见表2。</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tblHeader w:val="1"/>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r>
        <w:t xml:space="preserve"> 来源记录字段及其核验层次见表3。</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rPr>
          <w:rFonts w:ascii="Microsoft YaHei" w:hAnsi="Microsoft YaHei" w:eastAsia="Microsoft YaHei"/>
        </w:rP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r>
        <w:t xml:space="preserve"> 论断与来源关系示意见图2。</w:t>
      </w:r>
    </w:p>
    <w:p>
      <w:pPr>
        <w:keepNext/>
      </w:pPr>
      <w:r>
        <w:drawing>
          <wp:inline xmlns:a="http://schemas.openxmlformats.org/drawingml/2006/main" xmlns:pic="http://schemas.openxmlformats.org/drawingml/2006/picture">
            <wp:extent cx="5868000" cy="2726175"/>
            <wp:docPr id="2" name="Picture 2"/>
            <wp:cNvGraphicFramePr>
              <a:graphicFrameLocks noChangeAspect="1"/>
            </wp:cNvGraphicFramePr>
            <a:graphic>
              <a:graphicData uri="http://schemas.openxmlformats.org/drawingml/2006/picture">
                <pic:pic>
                  <pic:nvPicPr>
                    <pic:cNvPr id="0" name="fig03_schematic.png"/>
                    <pic:cNvPicPr/>
                  </pic:nvPicPr>
                  <pic:blipFill>
                    <a:blip r:embed="rId11"/>
                    <a:stretch>
                      <a:fillRect/>
                    </a:stretch>
                  </pic:blipFill>
                  <pic:spPr>
                    <a:xfrm>
                      <a:off x="0" y="0"/>
                      <a:ext cx="5868000" cy="2726175"/>
                    </a:xfrm>
                    <a:prstGeom prst="rect"/>
                  </pic:spPr>
                </pic:pic>
              </a:graphicData>
            </a:graphic>
          </wp: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完整原始响应、结构失败及会话补充记录均保留；会话补充没有新增供应商API调用，未纳入受控评分分析。新增分析使用新目录，不覆盖原评分、运行或历史统计版本。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r>
        <w:t xml:space="preserve"> 语料范围和标注构成汇总见表4。</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全条件供应商输出评分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2840个0/1/2评分值；33条会话补充输出不纳入，其中31条曾进入旧版评分汇总</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同系列服务版本比较在同一20题上各执行三条件，共60个单元。kimi-for-coding别名在供应商说明中对应K2.8 Preview [24]，与主模型k3的底层checkpoint均未独立验证。两者未显式统一思考预算，默认值未核实，比较属于服务版本敏感性，不是严格等计算预算的权重比较，更不是跨厂商模型族泛化。</w:t>
      </w:r>
      <w:r>
        <w:t xml:space="preserve"> 实际比较条件与分析范围见表5，变量隔离示意见图3。</w:t>
      </w:r>
    </w:p>
    <w:p>
      <w:pPr>
        <w:pStyle w:val="Caption"/>
        <w:keepNext/>
        <w:widowControl/>
      </w:pPr>
      <w:r>
        <w:t>表5 主文与补充分析范围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主文 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G1/G2/G3；仅计冻结供应商调用输出</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供应商输出评分与稳健性诊断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355输出 / 400计划单元</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排除33条会话补充回答；355条供应商输出由两人评分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BM25重跑</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wp:inline xmlns:a="http://schemas.openxmlformats.org/drawingml/2006/main" xmlns:pic="http://schemas.openxmlformats.org/drawingml/2006/picture">
            <wp:extent cx="5868000" cy="2726175"/>
            <wp:docPr id="3" name="Picture 3"/>
            <wp:cNvGraphicFramePr>
              <a:graphicFrameLocks noChangeAspect="1"/>
            </wp:cNvGraphicFramePr>
            <a:graphic>
              <a:graphicData uri="http://schemas.openxmlformats.org/drawingml/2006/picture">
                <pic:pic>
                  <pic:nvPicPr>
                    <pic:cNvPr id="0" name="fig02_schematic.png"/>
                    <pic:cNvPicPr/>
                  </pic:nvPicPr>
                  <pic:blipFill>
                    <a:blip r:embed="rId12"/>
                    <a:stretch>
                      <a:fillRect/>
                    </a:stretch>
                  </pic:blipFill>
                  <pic:spPr>
                    <a:xfrm>
                      <a:off x="0" y="0"/>
                      <a:ext cx="5868000" cy="2726175"/>
                    </a:xfrm>
                    <a:prstGeom prst="rect"/>
                  </pic:spPr>
                </pic:pic>
              </a:graphicData>
            </a:graphic>
          </wp: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w:t>
      </w:r>
    </w:p>
    <w:p>
      <w:pPr>
        <w:pStyle w:val="Heading2"/>
      </w:pPr>
      <w:r>
        <w:t>4.4 双人评分与可测量内容</w:t>
      </w:r>
    </w:p>
    <w:p>
      <w:pPr>
        <w:widowControl/>
      </w:pPr>
      <w:r>
        <w: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相同问题匹配两个条件，先计算每家公司内已观测配对差值，再对公司等权平均。原主结果采用2000次公司聚类bootstrap、种子42；新增维度和主题诊断采用10000次、种子20261023。区间均为探索性点对点百分位区间，不进行多重比较校正。不同分析的抽样次数明确区分，保留原主区间便于历史对照。</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来源供给与检索诊断</w:t>
      </w:r>
    </w:p>
    <w:p>
      <w:pPr>
        <w:widowControl/>
      </w:pPr>
      <w:r>
        <w: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3–S4。</w:t>
      </w:r>
    </w:p>
    <w:p>
      <w:pPr>
        <w:pStyle w:val="Heading1"/>
      </w:pPr>
      <w:r>
        <w:t>5 主实验与评分诊断</w:t>
      </w:r>
    </w:p>
    <w:p>
      <w:pPr>
        <w:pStyle w:val="Heading2"/>
      </w:pPr>
      <w:r>
        <w:t>5.1 运行覆盖与质量分布</w:t>
      </w:r>
    </w:p>
    <w:p>
      <w:pPr>
        <w:widowControl/>
      </w:pPr>
      <w:r>
        <w: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w:t>
      </w:r>
    </w:p>
    <w:p>
      <w:pPr>
        <w:pStyle w:val="Caption"/>
        <w:keepNext/>
        <w:widowControl/>
      </w:pPr>
      <w:r>
        <w:t>表6 可用输出与双人公司宏均分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52/60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7.327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7.577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7.077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47/60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7.543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7.277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48/60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7.594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7.354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w:t>
      </w:r>
    </w:p>
    <w:p>
      <w:pPr>
        <w:pStyle w:val="Heading2"/>
      </w:pPr>
      <w:r>
        <w:rPr>
          <w:rFonts w:ascii="Microsoft YaHei" w:hAnsi="Microsoft YaHei" w:eastAsia="Microsoft YaHei"/>
        </w:rPr>
        <w:t>5.2 双路检索与角色提示的增量</w:t>
      </w:r>
    </w:p>
    <w:p>
      <w:pPr>
        <w:widowControl/>
      </w:pPr>
      <w:r>
        <w:t>在纳入的供应商输出中，G2−G1的41个已知配对问题公司宏差值为0.228，20,000次公司聚类bootstrap点对点95%区间为[0.110, 0.355]；G3−G1为0.289（42对，[0.158, 0.434]）。G3−G2仅有38个配对，差值为0.013（[0.000,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w:t>
      </w:r>
    </w:p>
    <w:p>
      <w:pPr>
        <w:pStyle w:val="Caption"/>
        <w:keepNext/>
        <w:widowControl/>
      </w:pPr>
      <w:r>
        <w:t>表7 主比较及原分析的点对点95%公司聚类区间</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原95%区间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41/60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[0.110, 0.355]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38/60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0.013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[0.000, 0.039]</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42/60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0.289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[0.158, 0.434]</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[-0.315, -0.130]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-0.245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[-0.343, -0.157]</w:t>
            </w:r>
          </w:p>
        </w:tc>
      </w:tr>
    </w:tbl>
    <w:p>
      <w:pPr>
        <w:keepNext/>
      </w:pPr>
      <w:r>
        <w:drawing>
          <wp:inline xmlns:a="http://schemas.openxmlformats.org/drawingml/2006/main" xmlns:pic="http://schemas.openxmlformats.org/drawingml/2006/picture">
            <wp:extent cx="5868000" cy="3520800"/>
            <wp:docPr id="4" name="Picture 4"/>
            <wp:cNvGraphicFramePr>
              <a:graphicFrameLocks noChangeAspect="1"/>
            </wp:cNvGraphicFramePr>
            <a:graphic>
              <a:graphicData uri="http://schemas.openxmlformats.org/drawingml/2006/picture">
                <pic:pic>
                  <pic:nvPicPr>
                    <pic:cNvPr id="0" name="original_paired_effects.png"/>
                    <pic:cNvPicPr/>
                  </pic:nvPicPr>
                  <pic:blipFill>
                    <a:blip r:embed="rId13"/>
                    <a:stretch>
                      <a:fillRect/>
                    </a:stretch>
                  </pic:blipFill>
                  <pic:spPr>
                    <a:xfrm>
                      <a:off x="0" y="0"/>
                      <a:ext cx="5868000" cy="3520800"/>
                    </a:xfrm>
                    <a:prstGeom prst="rect"/>
                  </pic:spPr>
                </pic:pic>
              </a:graphicData>
            </a:graphic>
          </wp:inline>
        </w:drawing>
      </w:r>
    </w:p>
    <w:p>
      <w:pPr>
        <w:pStyle w:val="Caption"/>
        <w:widowControl/>
      </w:pPr>
      <w:r>
        <w:t>图4 三个主条件的供应商输出评分与评分者差异。均值及点对点95%区间仅基于各条件可用输出，区间按公司聚类。</w:t>
      </w:r>
    </w:p>
    <w:p>
      <w:pPr>
        <w:pStyle w:val="Heading2"/>
      </w:pPr>
      <w:r>
        <w:t>5.3 逐维度分析</w:t>
      </w:r>
    </w:p>
    <w:p>
      <w:pPr>
        <w:widowControl/>
      </w:pPr>
      <w:r>
        <w: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r>
        <w:t xml:space="preserve"> 逐维度配对效应见表8和图5。</w:t>
      </w:r>
    </w:p>
    <w:p>
      <w:pPr>
        <w:pStyle w:val="Caption"/>
        <w:keepNext/>
        <w:widowControl/>
      </w:pPr>
      <w:r>
        <w:t>表8 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不确定性Δ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c>
          <w:tcPr>
            <w:tcW w:type="dxa" w:w="1361"/>
          </w:tcPr>
          <w:p>
            <w:r>
              <w:t>G2-G1</w:t>
            </w:r>
          </w:p>
        </w:tc>
        <w:tc>
          <w:tcPr>
            <w:tcW w:type="dxa" w:w="1361"/>
          </w:tcPr>
          <w:p>
            <w:r>
              <w:t>41</w:t>
            </w:r>
          </w:p>
        </w:tc>
        <w:tc>
          <w:tcPr>
            <w:tcW w:type="dxa" w:w="1361"/>
          </w:tcPr>
          <w:p>
            <w:r>
              <w:t>-0.009</w:t>
            </w:r>
          </w:p>
        </w:tc>
        <w:tc>
          <w:tcPr>
            <w:tcW w:type="dxa" w:w="1361"/>
          </w:tcPr>
          <w:p>
            <w:r>
              <w:t>0.237</w:t>
            </w:r>
          </w:p>
        </w:tc>
        <w:tc>
          <w:tcPr>
            <w:tcW w:type="dxa" w:w="1361"/>
          </w:tcPr>
          <w:p>
            <w:r>
              <w:t>0.000</w:t>
            </w:r>
          </w:p>
        </w:tc>
        <w:tc>
          <w:tcPr>
            <w:tcW w:type="dxa" w:w="1361"/>
          </w:tcPr>
          <w:p>
            <w:r>
              <w:t>0.000</w:t>
            </w:r>
          </w:p>
        </w:tc>
        <w:tc>
          <w:tcPr>
            <w:tcW w:type="dxa" w:w="1361"/>
          </w:tcPr>
          <w:p>
            <w:r>
              <w:t>0.228</w:t>
            </w:r>
          </w:p>
        </w:tc>
      </w:tr>
      <w:tr>
        <w:tc>
          <w:tcPr>
            <w:tcW w:type="dxa" w:w="1361"/>
          </w:tcPr>
          <w:p>
            <w:r>
              <w:t>G3-G2</w:t>
            </w:r>
          </w:p>
        </w:tc>
        <w:tc>
          <w:tcPr>
            <w:tcW w:type="dxa" w:w="1361"/>
          </w:tcPr>
          <w:p>
            <w:r>
              <w:t>38</w:t>
            </w:r>
          </w:p>
        </w:tc>
        <w:tc>
          <w:tcPr>
            <w:tcW w:type="dxa" w:w="1361"/>
          </w:tcPr>
          <w:p>
            <w:r>
              <w:t>0.000</w:t>
            </w:r>
          </w:p>
        </w:tc>
        <w:tc>
          <w:tcPr>
            <w:tcW w:type="dxa" w:w="1361"/>
          </w:tcPr>
          <w:p>
            <w:r>
              <w:t>0.000</w:t>
            </w:r>
          </w:p>
        </w:tc>
        <w:tc>
          <w:tcPr>
            <w:tcW w:type="dxa" w:w="1361"/>
          </w:tcPr>
          <w:p>
            <w:r>
              <w:t>0.013</w:t>
            </w:r>
          </w:p>
        </w:tc>
        <w:tc>
          <w:tcPr>
            <w:tcW w:type="dxa" w:w="1361"/>
          </w:tcPr>
          <w:p>
            <w:r>
              <w:t>0.000</w:t>
            </w:r>
          </w:p>
        </w:tc>
        <w:tc>
          <w:tcPr>
            <w:tcW w:type="dxa" w:w="1361"/>
          </w:tcPr>
          <w:p>
            <w:r>
              <w:t>0.013</w:t>
            </w:r>
          </w:p>
        </w:tc>
      </w:tr>
      <w:tr>
        <w:tc>
          <w:tcPr>
            <w:tcW w:type="dxa" w:w="1361"/>
          </w:tcPr>
          <w:p>
            <w:r>
              <w:t>G3-G1</w:t>
            </w:r>
          </w:p>
        </w:tc>
        <w:tc>
          <w:tcPr>
            <w:tcW w:type="dxa" w:w="1361"/>
          </w:tcPr>
          <w:p>
            <w:r>
              <w:t>42</w:t>
            </w:r>
          </w:p>
        </w:tc>
        <w:tc>
          <w:tcPr>
            <w:tcW w:type="dxa" w:w="1361"/>
          </w:tcPr>
          <w:p>
            <w:r>
              <w:t>-0.009</w:t>
            </w:r>
          </w:p>
        </w:tc>
        <w:tc>
          <w:tcPr>
            <w:tcW w:type="dxa" w:w="1361"/>
          </w:tcPr>
          <w:p>
            <w:r>
              <w:t>0.285</w:t>
            </w:r>
          </w:p>
        </w:tc>
        <w:tc>
          <w:tcPr>
            <w:tcW w:type="dxa" w:w="1361"/>
          </w:tcPr>
          <w:p>
            <w:r>
              <w:t>0.013</w:t>
            </w:r>
          </w:p>
        </w:tc>
        <w:tc>
          <w:tcPr>
            <w:tcW w:type="dxa" w:w="1361"/>
          </w:tcPr>
          <w:p>
            <w:r>
              <w:t>0.000</w:t>
            </w:r>
          </w:p>
        </w:tc>
        <w:tc>
          <w:tcPr>
            <w:tcW w:type="dxa" w:w="1361"/>
          </w:tcPr>
          <w:p>
            <w:r>
              <w:t>0.289</w:t>
            </w:r>
          </w:p>
        </w:tc>
      </w:tr>
    </w:tbl>
    <w:p>
      <w:pPr>
        <w:keepNext/>
      </w:pPr>
      <w:r>
        <w:drawing>
          <wp:inline xmlns:a="http://schemas.openxmlformats.org/drawingml/2006/main" xmlns:pic="http://schemas.openxmlformats.org/drawingml/2006/picture">
            <wp:extent cx="5868000" cy="2302136"/>
            <wp:docPr id="5" name="Picture 5"/>
            <wp:cNvGraphicFramePr>
              <a:graphicFrameLocks noChangeAspect="1"/>
            </wp:cNvGraphicFramePr>
            <a:graphic>
              <a:graphicData uri="http://schemas.openxmlformats.org/drawingml/2006/picture">
                <pic:pic>
                  <pic:nvPicPr>
                    <pic:cNvPr id="0" name="quality_dimension_effects.png"/>
                    <pic:cNvPicPr/>
                  </pic:nvPicPr>
                  <pic:blipFill>
                    <a:blip r:embed="rId14"/>
                    <a:stretch>
                      <a:fillRect/>
                    </a:stretch>
                  </pic:blipFill>
                  <pic:spPr>
                    <a:xfrm>
                      <a:off x="0" y="0"/>
                      <a:ext cx="5868000" cy="2302136"/>
                    </a:xfrm>
                    <a:prstGeom prst="rect"/>
                  </pic:spPr>
                </pic:pic>
              </a:graphicData>
            </a:graphic>
          </wp:inline>
        </w:drawing>
      </w:r>
    </w:p>
    <w:p>
      <w:pPr>
        <w:pStyle w:val="Caption"/>
        <w:widowControl/>
      </w:pPr>
      <w:r>
        <w:t>图5 主比较的公司宏维度配对差。区间为20,000次公司聚类bootstrap点对点95%区间；仅包括已观察配对，不作多重比较校正。</w:t>
      </w:r>
    </w:p>
    <w:p>
      <w:pPr>
        <w:pStyle w:val="Heading2"/>
      </w:pPr>
      <w:r>
        <w:t>5.4 评分者差异与量表天花板</w:t>
      </w:r>
    </w:p>
    <w:p>
      <w:pPr>
        <w:widowControl/>
      </w:pPr>
      <w:r>
        <w: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w:t>
      </w:r>
    </w:p>
    <w:p>
      <w:pPr>
        <w:widowControl/>
      </w:pPr>
      <w:r>
        <w: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w:t>
      </w:r>
    </w:p>
    <w:p>
      <w:pPr>
        <w:pStyle w:val="Caption"/>
        <w:keepNext/>
        <w:widowControl/>
      </w:pPr>
      <w:r>
        <w:t>表9 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0.116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81.4%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0.215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44.8%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不可估计†</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bl>
    <w:p>
      <w:pPr>
        <w:keepNext/>
      </w:pPr>
      <w:r>
        <w:drawing>
          <wp:inline xmlns:a="http://schemas.openxmlformats.org/drawingml/2006/main" xmlns:pic="http://schemas.openxmlformats.org/drawingml/2006/picture">
            <wp:extent cx="5868000" cy="2646252"/>
            <wp:docPr id="7" name="Picture 7"/>
            <wp:cNvGraphicFramePr>
              <a:graphicFrameLocks noChangeAspect="1"/>
            </wp:cNvGraphicFramePr>
            <a:graphic>
              <a:graphicData uri="http://schemas.openxmlformats.org/drawingml/2006/picture">
                <pic:pic>
                  <pic:nvPicPr>
                    <pic:cNvPr id="0" name="quality_ceiling_diagnostics.png"/>
                    <pic:cNvPicPr/>
                  </pic:nvPicPr>
                  <pic:blipFill>
                    <a:blip r:embed="rId16"/>
                    <a:stretch>
                      <a:fillRect/>
                    </a:stretch>
                  </pic:blipFill>
                  <pic:spPr>
                    <a:xfrm>
                      <a:off x="0" y="0"/>
                      <a:ext cx="5868000" cy="2646252"/>
                    </a:xfrm>
                    <a:prstGeom prst="rect"/>
                  </pic:spPr>
                </pic:pic>
              </a:graphicData>
            </a:graphic>
          </wp:inline>
        </w:drawing>
      </w:r>
    </w:p>
    <w:p>
      <w:pPr>
        <w:pStyle w:val="Caption"/>
        <w:widowControl/>
      </w:pPr>
      <w:r>
        <w:t>图6 355条供应商输出上的评分天花板与评分者满分率。高一致率不代表逐论断语义支持已核验。</w:t>
      </w:r>
    </w:p>
    <w:p>
      <w:pPr>
        <w:pStyle w:val="Heading2"/>
      </w:pPr>
      <w:r>
        <w:t>5.5 完整样本与缺失敏感性</w:t>
      </w:r>
    </w:p>
    <w:p>
      <w:pPr>
        <w:widowControl/>
      </w:pPr>
      <w:r>
        <w: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w:t>
      </w:r>
    </w:p>
    <w:p>
      <w:pPr>
        <w:widowControl/>
      </w:pPr>
      <w:r>
        <w: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w:t>
      </w:r>
    </w:p>
    <w:p>
      <w:pPr>
        <w:pStyle w:val="Caption"/>
        <w:keepNext/>
        <w:widowControl/>
      </w:pPr>
      <w:r>
        <w:t>表10 逐公司删一与已知单侧缺失界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c>
          <w:tcPr>
            <w:tcW w:type="dxa" w:w="2381"/>
          </w:tcPr>
          <w:p>
            <w:r>
              <w:t>G2-G1</w:t>
            </w:r>
          </w:p>
        </w:tc>
        <w:tc>
          <w:tcPr>
            <w:tcW w:type="dxa" w:w="2381"/>
          </w:tcPr>
          <w:p>
            <w:r>
              <w:t>[0.199, 0.241]</w:t>
            </w:r>
          </w:p>
        </w:tc>
        <w:tc>
          <w:tcPr>
            <w:tcW w:type="dxa" w:w="2381"/>
          </w:tcPr>
          <w:p>
            <w:r>
              <w:t>[-1.508, 1.292]</w:t>
            </w:r>
          </w:p>
        </w:tc>
        <w:tc>
          <w:tcPr>
            <w:tcW w:type="dxa" w:w="2381"/>
          </w:tcPr>
          <w:p>
            <w:r>
              <w:t>13/28/0</w:t>
            </w:r>
          </w:p>
        </w:tc>
      </w:tr>
      <w:tr>
        <w:tc>
          <w:tcPr>
            <w:tcW w:type="dxa" w:w="2381"/>
          </w:tcPr>
          <w:p>
            <w:r>
              <w:t>G3-G2</w:t>
            </w:r>
          </w:p>
        </w:tc>
        <w:tc>
          <w:tcPr>
            <w:tcW w:type="dxa" w:w="2381"/>
          </w:tcPr>
          <w:p>
            <w:r>
              <w:t>[0.000, 0.014]</w:t>
            </w:r>
          </w:p>
        </w:tc>
        <w:tc>
          <w:tcPr>
            <w:tcW w:type="dxa" w:w="2381"/>
          </w:tcPr>
          <w:p>
            <w:r>
              <w:t>[-1.567, 1.767]</w:t>
            </w:r>
          </w:p>
        </w:tc>
        <w:tc>
          <w:tcPr>
            <w:tcW w:type="dxa" w:w="2381"/>
          </w:tcPr>
          <w:p>
            <w:r>
              <w:t>1/37/0</w:t>
            </w:r>
          </w:p>
        </w:tc>
      </w:tr>
      <w:tr>
        <w:tc>
          <w:tcPr>
            <w:tcW w:type="dxa" w:w="2381"/>
          </w:tcPr>
          <w:p>
            <w:r>
              <w:t>G3-NoRerank</w:t>
            </w:r>
          </w:p>
        </w:tc>
        <w:tc>
          <w:tcPr>
            <w:tcW w:type="dxa" w:w="2381"/>
          </w:tcPr>
          <w:p>
            <w:r>
              <w:t>[-0.250, -0.196]</w:t>
            </w:r>
          </w:p>
        </w:tc>
        <w:tc>
          <w:tcPr>
            <w:tcW w:type="dxa" w:w="2381"/>
          </w:tcPr>
          <w:p>
            <w:r>
              <w:t>[-1.750, 0.517]</w:t>
            </w:r>
          </w:p>
        </w:tc>
        <w:tc>
          <w:tcPr>
            <w:tcW w:type="dxa" w:w="2381"/>
          </w:tcPr>
          <w:p>
            <w:r>
              <w:t>2/23/20</w:t>
            </w:r>
          </w:p>
        </w:tc>
      </w:tr>
      <w:tr>
        <w:tc>
          <w:tcPr>
            <w:tcW w:type="dxa" w:w="2381"/>
          </w:tcPr>
          <w:p>
            <w:r>
              <w:t>G3-BM25</w:t>
            </w:r>
          </w:p>
        </w:tc>
        <w:tc>
          <w:tcPr>
            <w:tcW w:type="dxa" w:w="2381"/>
          </w:tcPr>
          <w:p>
            <w:r>
              <w:t>[-0.260, -0.219]</w:t>
            </w:r>
          </w:p>
        </w:tc>
        <w:tc>
          <w:tcPr>
            <w:tcW w:type="dxa" w:w="2381"/>
          </w:tcPr>
          <w:p>
            <w:r>
              <w:t>[-1.792, 0.608]</w:t>
            </w:r>
          </w:p>
        </w:tc>
        <w:tc>
          <w:tcPr>
            <w:tcW w:type="dxa" w:w="2381"/>
          </w:tcPr>
          <w:p>
            <w:r>
              <w:t>10/6/29</w:t>
            </w:r>
          </w:p>
        </w:tc>
      </w:tr>
    </w:tbl>
    <w:p>
      <w:pPr>
        <w:keepNext/>
      </w:pPr>
      <w:r>
        <w:drawing>
          <wp:inline xmlns:a="http://schemas.openxmlformats.org/drawingml/2006/main" xmlns:pic="http://schemas.openxmlformats.org/drawingml/2006/picture">
            <wp:extent cx="5868000" cy="3597001"/>
            <wp:docPr id="8" name="Picture 8"/>
            <wp:cNvGraphicFramePr>
              <a:graphicFrameLocks noChangeAspect="1"/>
            </wp:cNvGraphicFramePr>
            <a:graphic>
              <a:graphicData uri="http://schemas.openxmlformats.org/drawingml/2006/picture">
                <pic:pic>
                  <pic:nvPicPr>
                    <pic:cNvPr id="0" name="missingness_and_loco_sensitivity.png"/>
                    <pic:cNvPicPr/>
                  </pic:nvPicPr>
                  <pic:blipFill>
                    <a:blip r:embed="rId17"/>
                    <a:stretch>
                      <a:fillRect/>
                    </a:stretch>
                  </pic:blipFill>
                  <pic:spPr>
                    <a:xfrm>
                      <a:off x="0" y="0"/>
                      <a:ext cx="5868000" cy="3597001"/>
                    </a:xfrm>
                    <a:prstGeom prst="rect"/>
                  </pic:spPr>
                </pic:pic>
              </a:graphicData>
            </a:graphic>
          </wp:inline>
        </w:drawing>
      </w:r>
    </w:p>
    <w:p>
      <w:pPr>
        <w:pStyle w:val="Caption"/>
        <w:widowControl/>
      </w:pPr>
      <w:r>
        <w:t>图7 排除会话补充回答后的缺失与逐公司删一敏感性。观测效应区间为20,000次公司聚类bootstrap点对点95%区间；全题代数缺失界与置信区间是不同估计对象。</w:t>
      </w:r>
    </w:p>
    <w:p>
      <w:pPr>
        <w:pStyle w:val="Heading1"/>
      </w:pPr>
      <w:r>
        <w:t>6 检索证据与案例分析</w:t>
      </w:r>
    </w:p>
    <w:p>
      <w:pPr>
        <w:pStyle w:val="Heading2"/>
      </w:pPr>
      <w:r>
        <w:t>6.1 来源供给与目标定位覆盖</w:t>
      </w:r>
    </w:p>
    <w:p>
      <w:pPr>
        <w:widowControl/>
      </w:pPr>
      <w:r>
        <w: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r>
        <w:t xml:space="preserve"> 来源供给及严格目标位置结果见表11和图8。</w:t>
      </w:r>
    </w:p>
    <w:p>
      <w:pPr>
        <w:pStyle w:val="Caption"/>
        <w:keepNext/>
        <w:widowControl/>
      </w:pPr>
      <w:r>
        <w:t>表11 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wp:inline xmlns:a="http://schemas.openxmlformats.org/drawingml/2006/main" xmlns:pic="http://schemas.openxmlformats.org/drawingml/2006/picture">
            <wp:extent cx="5868000" cy="2305613"/>
            <wp:docPr id="9" name="Picture 9"/>
            <wp:cNvGraphicFramePr>
              <a:graphicFrameLocks noChangeAspect="1"/>
            </wp:cNvGraphicFramePr>
            <a:graphic>
              <a:graphicData uri="http://schemas.openxmlformats.org/drawingml/2006/picture">
                <pic:pic>
                  <pic:nvPicPr>
                    <pic:cNvPr id="0" name="R3_context_allocation.png"/>
                    <pic:cNvPicPr/>
                  </pic:nvPicPr>
                  <pic:blipFill>
                    <a:blip r:embed="rId18"/>
                    <a:stretch>
                      <a:fillRect/>
                    </a:stretch>
                  </pic:blipFill>
                  <pic:spPr>
                    <a:xfrm>
                      <a:off x="0" y="0"/>
                      <a:ext cx="5868000" cy="2305613"/>
                    </a:xfrm>
                    <a:prstGeom prst="rect"/>
                  </pic:spPr>
                </pic:pic>
              </a:graphicData>
            </a:graphic>
          </wp:inline>
        </w:drawing>
      </w:r>
    </w:p>
    <w:p>
      <w:pPr>
        <w:pStyle w:val="Caption"/>
        <w:widowControl/>
      </w:pPr>
      <w:r>
        <w:t>图8 来源分配回放。类型同时存在是供给指标，不能替代参考页面覆盖或语义支持。</w:t>
      </w:r>
    </w:p>
    <w:p>
      <w:pPr>
        <w:pStyle w:val="Heading2"/>
      </w:pPr>
      <w:r>
        <w:t>6.2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w:t>
      </w:r>
    </w:p>
    <w:p>
      <w:pPr>
        <w:widowControl/>
      </w:pPr>
      <w:r>
        <w:t>在该案例中，G2与G3使用逐字相同的检索上下文且评分相同；它说明角色提示没有在此题增加评分，不能据一个案例推断提示普遍无效。案例和评分均来自主协议下的供应商输出，已排除会话补充答案。</w:t>
      </w:r>
    </w:p>
    <w:p>
      <w:pPr>
        <w:pStyle w:val="Caption"/>
        <w:keepNext/>
        <w:widowControl/>
      </w:pPr>
      <w:r>
        <w:t>表12 事后选取的供应商输出案例</w:t>
      </w:r>
    </w:p>
    <w:tbl>
      <w:tblPr>
        <w:tblStyle w:val="TableGrid"/>
        <w:tblW w:type="auto" w:w="0"/>
        <w:tblLayout w:type="fixed"/>
        <w:tblLook w:firstColumn="1" w:firstRow="1" w:lastColumn="0" w:lastRow="0" w:noHBand="0" w:noVBand="1" w:val="04A0"/>
      </w:tblPr>
      <w:tblGrid>
        <w:gridCol w:w="2098"/>
        <w:gridCol w:w="1077"/>
        <w:gridCol w:w="4365"/>
        <w:gridCol w:w="1984"/>
      </w:tblGrid>
      <w:tr>
        <w:trPr>
          <w:tblHeader w:val="1"/>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r>
              <w:t>002475SZ-2024-AUDIT_COMMITTEE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r>
              <w:t>一、年报披露（有原文支持）：1. 人员构成：立讯精密2024年报披露，审计委员会成员为刘中华、宋宇红、侯玲玲、张英，共4人；报告期内召开会议4次 [A1]。年报另披露公司董事会共7名董事，其中独立董事3名（法律、会计等领域专家），董事会下设审计委员会、战略委员会、提名委员会、薪酬与考核委员会4个专门委员会，称‘成员组成结构合理’ [A4]，但未逐一说明审计委员会各成员的董事类别及召集人身份……</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r>
              <w:t>A1,A4,R1,R2,R3,R4,R5</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删除一类来源后的降分表明材料具有互补性，但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补充的法规版本审计发现，本研究问题均以2024年报告为背景，而当前知识库中的DOC100《上市公司信息披露管理办法》、DOC128《上市公司章程指引》和DOC120《上市公司治理准则》分别对应2025年第226号令、2025年第6号公告版和自2026年起施行的2025年第18号公告版；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w:t>
      </w:r>
    </w:p>
    <w:p>
      <w:pPr>
        <w:widowControl/>
      </w:pPr>
      <w:r>
        <w: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w:t>
      </w:r>
    </w:p>
    <w:p>
      <w:pPr>
        <w:widowControl/>
      </w:pPr>
      <w:r>
        <w:t>同系列K3与K2.8服务别名未显式统一思考预算，且底层revision未核实，所测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结论与部署含义</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w:t>
      </w:r>
    </w:p>
    <w:p>
      <w:pPr>
        <w:widowControl/>
      </w:pPr>
      <w:r>
        <w:t>本文对上市公司年报与法规问答中的双源检索配置进行了受控比较。现有双人评分显示，双路检索相较合并候选池的公司宏均分差为正；在相同证据下增加来源角色提示未显示稳定增益。来源缺失配置得分较低，但移除来源同时改变了证据内容与上下文长度，不能归因于纯粹的来源角色效应。来源同现和参考位置覆盖也不能替代论断级语义支持。因此，结果仅提示显式组织不同来源在本任务及评分口径下可能有用，不能说明复杂检索配置普遍优于简化基线。</w:t>
      </w:r>
    </w:p>
    <w:p>
      <w:pPr>
        <w:widowControl/>
      </w:pPr>
      <w:r>
        <w: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spacing w:after="0" w:before="0" w:line="240" w:lineRule="auto"/>
      </w:pPr>
      <w:r>
        <w:t>[1] Lewis P, et al. Retrieval-Augmented Generation for Knowledge-Intensive NLP Tasks. Advances in Neural Information Processing Systems 33 (NeurIPS 2020): 9459–9474. https://proceedings.neurips.cc/paper/2020/hash/6b493230-Abstract.html</w:t>
      </w:r>
    </w:p>
    <w:p>
      <w:pPr>
        <w:widowControl/>
        <w:spacing w:after="0" w:before="0" w:line="240" w:lineRule="auto"/>
      </w:pPr>
      <w:r>
        <w:t>[2] Chen Z, et al. FinQA: A Dataset of Numerical Reasoning over Financial Data. EMNLP, 2021: 3697–3711. https://doi.org/10.18653/v1/2021.emnlp-main.300</w:t>
      </w:r>
    </w:p>
    <w:p>
      <w:pPr>
        <w:widowControl/>
        <w:spacing w:after="0" w:before="0" w:line="240" w:lineRule="auto"/>
      </w:pPr>
      <w:r>
        <w:t>[3] Zhu F, et al. TAT-QA: A Question Answering Benchmark on a Hybrid of Tabular and Textual Content in Finance. ACL-IJCNLP, 2021: 3277–3287. https://doi.org/10.18653/v1/2021.acl-long.254</w:t>
      </w:r>
    </w:p>
    <w:p>
      <w:pPr>
        <w:widowControl/>
        <w:spacing w:after="0" w:before="0" w:line="240" w:lineRule="auto"/>
      </w:pPr>
      <w:r>
        <w:t>[4] Choe J, Kim J, Jung W. Hierarchical Retrieval with Evidence Curation for Open-Domain Financial Question Answering on Standardized Documents. Findings of ACL, 2025: 16663–16681. https://doi.org/10.18653/v1/2025.findings-acl.855</w:t>
      </w:r>
    </w:p>
    <w:p>
      <w:pPr>
        <w:widowControl/>
        <w:spacing w:after="0" w:before="0" w:line="240" w:lineRule="auto"/>
      </w:pPr>
      <w:r>
        <w:t>[5] Siddharth L, Luo J. Retrieval augmented generation using engineering design knowledge. Knowledge-Based Systems 303, 2024: 112410. https://doi.org/10.1016/j.knosys.2024.112410</w:t>
      </w:r>
    </w:p>
    <w:p>
      <w:pPr>
        <w:widowControl/>
        <w:spacing w:after="0" w:before="0" w:line="240" w:lineRule="auto"/>
      </w:pPr>
      <w:r>
        <w:t>[6] Yang W, Some L, Bain M, Kang B. A comprehensive survey on integrating large language models with knowledge-based methods. Knowledge-Based Systems 318, 2025: 113503. https://doi.org/10.1016/j.knosys.2025.113503</w:t>
      </w:r>
    </w:p>
    <w:p>
      <w:pPr>
        <w:widowControl/>
        <w:spacing w:after="0" w:before="0" w:line="240" w:lineRule="auto"/>
      </w:pPr>
      <w:r>
        <w:t>[7] Robertson S, Zaragoza H. The Probabilistic Relevance Framework: BM25 and Beyond. Foundations and Trends in Information Retrieval 3(4), 2009: 333–389. https://doi.org/10.1561/1500000019</w:t>
      </w:r>
    </w:p>
    <w:p>
      <w:pPr>
        <w:widowControl/>
        <w:spacing w:after="0" w:before="0" w:line="240" w:lineRule="auto"/>
      </w:pPr>
      <w:r>
        <w:t>[8] Karpukhin V, et al. Dense Passage Retrieval for Open-Domain Question Answering. EMNLP, 2020: 6769–6781. https://doi.org/10.18653/v1/2020.emnlp-main.550</w:t>
      </w:r>
    </w:p>
    <w:p>
      <w:pPr>
        <w:widowControl/>
        <w:spacing w:after="0" w:before="0" w:line="240" w:lineRule="auto"/>
      </w:pPr>
      <w:r>
        <w:t>[9] Zhang Y, et al. Qwen3 Embedding: Advancing Text Embedding and Reranking Through Foundation Models. arXiv, 2025. https://arxiv.org/abs/2506.05176</w:t>
      </w:r>
    </w:p>
    <w:p>
      <w:pPr>
        <w:widowControl/>
        <w:spacing w:after="0" w:before="0" w:line="240" w:lineRule="auto"/>
      </w:pPr>
      <w:r>
        <w:t>[10] Cormack G V, Clarke C L A, Buettcher S. Reciprocal rank fusion outperforms condorcet and individual rank learning methods. SIGIR, 2009: 758–759. https://doi.org/10.1145/1571941.1572114</w:t>
      </w:r>
    </w:p>
    <w:p>
      <w:pPr>
        <w:widowControl/>
        <w:spacing w:after="0" w:before="0" w:line="240" w:lineRule="auto"/>
      </w:pPr>
      <w:r>
        <w:t>[11] Alier M, García-Peñalvo F J, Casañ M J, Pereira J, Granados A. Closing the acronym gap in educational retrieval with ontology-guided augmentation. Information Sciences 740, 2026: 123181. https://doi.org/10.1016/j.ins.2026.123181</w:t>
      </w:r>
    </w:p>
    <w:p>
      <w:pPr>
        <w:widowControl/>
        <w:spacing w:after="0" w:before="0" w:line="240" w:lineRule="auto"/>
      </w:pPr>
      <w:r>
        <w:t>[12] Asai A, Wu Z, Wang Y, Sil A, Hajishirzi H. Self-RAG: Learning to Retrieve, Generate, and Critique through Self-Reflection. ICLR, 2024. https://arxiv.org/abs/2310.11511</w:t>
      </w:r>
    </w:p>
    <w:p>
      <w:pPr>
        <w:widowControl/>
        <w:spacing w:after="0" w:before="0" w:line="240" w:lineRule="auto"/>
      </w:pPr>
      <w:r>
        <w:t>[13] Yan S Q, Gu J C, Zhu Y, Ling Z H. Corrective Retrieval Augmented Generation. arXiv, 2024. https://arxiv.org/abs/2401.15884</w:t>
      </w:r>
    </w:p>
    <w:p>
      <w:pPr>
        <w:widowControl/>
        <w:spacing w:after="0" w:before="0" w:line="240" w:lineRule="auto"/>
      </w:pPr>
      <w:r>
        <w:t>[14] Jeong S, Baek J, Cho S, Hwang S J, Park J. Adaptive-RAG: Learning to Adapt Retrieval-Augmented Large Language Models through Question Complexity. NAACL, 2024: 7036–7050. https://doi.org/10.18653/v1/2024.naacl-long.389</w:t>
      </w:r>
    </w:p>
    <w:p>
      <w:pPr>
        <w:widowControl/>
        <w:spacing w:after="0" w:before="0" w:line="240" w:lineRule="auto"/>
      </w:pPr>
      <w:r>
        <w:t>[15] Han W, Xiao X, Li Y, Wang J, Pechenizkiy M, Fang M. Adaptive iterative retrieval for enhanced retrieval-augmented generation. Neurocomputing 666, 2026: 132272. https://doi.org/10.1016/j.neucom.2025.132272</w:t>
      </w:r>
    </w:p>
    <w:p>
      <w:pPr>
        <w:widowControl/>
        <w:spacing w:after="0" w:before="0" w:line="240" w:lineRule="auto"/>
      </w:pPr>
      <w:r>
        <w:t>[16] Yao S, et al. ReAct: Synergizing Reasoning and Acting in Language Models. International Conference on Learning Representations (ICLR 2023). https://arxiv.org/abs/2210.03629</w:t>
      </w:r>
    </w:p>
    <w:p>
      <w:pPr>
        <w:widowControl/>
        <w:spacing w:after="0" w:before="0" w:line="240" w:lineRule="auto"/>
      </w:pPr>
      <w:r>
        <w:t>[17] Li B, Fan S, Zhu S, Wen L. CoLE: A collaborative legal expert prompting framework for large language models in law. Knowledge-Based Systems 311, 2025: 113052. https://doi.org/10.1016/j.knosys.2025.113052</w:t>
      </w:r>
    </w:p>
    <w:p>
      <w:pPr>
        <w:widowControl/>
        <w:spacing w:after="0" w:before="0" w:line="240" w:lineRule="auto"/>
      </w:pPr>
      <w:r>
        <w:t>[18] Wang H, et al. Learning to break: Knowledge-enhanced reasoning in multi-agent debate system. Neurocomputing 618, 2025: 129063. https://doi.org/10.1016/j.neucom.2024.129063</w:t>
      </w:r>
    </w:p>
    <w:p>
      <w:pPr>
        <w:widowControl/>
        <w:spacing w:after="0" w:before="0" w:line="240" w:lineRule="auto"/>
      </w:pPr>
      <w:r>
        <w:t>[19] Gao T, Yen H, Yu J, Chen D. Enabling Large Language Models to Generate Text with Citations. EMNLP, 2023: 6465–6488. https://doi.org/10.18653/v1/2023.emnlp-main.398</w:t>
      </w:r>
    </w:p>
    <w:p>
      <w:pPr>
        <w:widowControl/>
        <w:spacing w:after="0" w:before="0" w:line="240" w:lineRule="auto"/>
      </w:pPr>
      <w:r>
        <w:t>[20] Es S, James J, Espinosa Anke L, Schockaert S. RAGAs: Automated Evaluation of Retrieval Augmented Generation. EACL System Demonstrations, 2024: 150–158. https://doi.org/10.18653/v1/2024.eacl-demo.16</w:t>
      </w:r>
    </w:p>
    <w:p>
      <w:pPr>
        <w:widowControl/>
        <w:spacing w:after="0" w:before="0" w:line="240" w:lineRule="auto"/>
      </w:pPr>
      <w:r>
        <w:t>[21] Ru D, et al. RAGChecker: A Fine-grained Framework for Diagnosing Retrieval-Augmented Generation. Advances in Neural Information Processing Systems 37 (NeurIPS 2024), Datasets and Benchmarks Track. https://doi.org/10.52202/079017-0692</w:t>
      </w:r>
    </w:p>
    <w:p>
      <w:pPr>
        <w:widowControl/>
        <w:spacing w:after="0" w:before="0" w:line="240" w:lineRule="auto"/>
      </w:pPr>
      <w:r>
        <w:t>[22] Pipitone N, Alami G H. LegalBench-RAG: A Benchmark for Retrieval-Augmented Generation in the Legal Domain. arXiv, 2024. https://arxiv.org/abs/2408.10343</w:t>
      </w:r>
    </w:p>
    <w:p>
      <w:pPr>
        <w:widowControl/>
        <w:spacing w:after="0" w:before="0" w:line="240" w:lineRule="auto"/>
      </w:pPr>
      <w:r>
        <w:t>[23] Liu N F, et al. Lost in the Middle: How Language Models Use Long Contexts. TACL 12, 2024: 157–173. https://doi.org/10.1162/tacl_a_00638</w:t>
      </w:r>
    </w:p>
    <w:p>
      <w:pPr>
        <w:widowControl/>
        <w:spacing w:after="0" w:before="0" w:line="240" w:lineRule="auto"/>
      </w:pPr>
      <w:r>
        <w:t>[24] Kimi. 模型配置. 服务别名说明；底层revision未核实，核对日期2026-10-20及2026-10-23。 https://www.kimi.com/help/kimi-code/models</w:t>
      </w:r>
    </w:p>
    <w:p>
      <w:pPr>
        <w:widowControl/>
        <w:spacing w:after="0" w:before="0" w:line="240" w:lineRule="auto"/>
      </w:pPr>
      <w:r>
        <w:t>[25] 中国证监会. 第182号令《上市公司信息披露管理办法》（2021）及第226号令《上市公司信息披露管理办法》（2025）。 https://www.csrc.gov.cn/csrc/c101864/c2ee1a791fddc4f5ebeeb70aa8e2399cf/content.shtml; https://www.csrc.gov.cn/csrc/c101953/c7547359/content.shtml</w:t>
      </w:r>
    </w:p>
    <w:p>
      <w:pPr>
        <w:widowControl/>
        <w:spacing w:after="0" w:before="0" w:line="240" w:lineRule="auto"/>
      </w:pPr>
      <w:r>
        <w:t>[26] 中国证监会. 第62号公告《关于修改〈上市公司章程指引〉的决定》（2023）及第6号公告《上市公司章程指引》（2025）。 https://www.csrc.gov.cn/csrc/c101954/c7449659/content.shtml; https://www.csrc.gov.cn/csrc/c101954/c7547791/content.shtml</w:t>
      </w:r>
    </w:p>
    <w:p>
      <w:pPr>
        <w:widowControl/>
        <w:spacing w:after="0" w:before="0" w:line="240" w:lineRule="auto"/>
      </w:pPr>
      <w:r>
        <w:t>[27] 中国证监会. 第29号公告《上市公司治理准则》（2018）及第18号公告《上市公司治理准则》（2025）。 https://www.csrc.gov.cn/csrc/c101864/c1024585/content.shtml; https://www.csrc.gov.cn/csrc/c101954/c7589726/content.shtml</w:t>
      </w:r>
    </w:p>
    <w:p>
      <w:pPr>
        <w:widowControl/>
        <w:spacing w:after="0" w:before="0" w:line="240" w:lineRule="auto"/>
      </w:pPr>
      <w:r>
        <w:t>[28] Wang R, Balloccu S. ARQA: A Benchmark for Grounded Table–Text QA in Enterprise Annual Reports. Proceedings of the 19th Conference of the European Chapter of the Association for Computational Linguistics, Industry Track, 2026: 847–868. https://doi.org/10.18653/v1/2026.eacl-industry.63</w:t>
      </w:r>
    </w:p>
    <w:p>
      <w:pPr>
        <w:widowControl/>
        <w:spacing w:after="0" w:before="0" w:line="240" w:lineRule="auto"/>
      </w:pPr>
      <w:r>
        <w:t>[29] Zhu T, Liu M, Kurfali M. CFQA: A Chinese Financial Question Answering Benchmark from Corporate Annual Reports. Proceedings of the 7th Financial Narrative Processing Workshop, 2026: 28–38. https://doi.org/10.63317/4e6fhrncfrbu</w:t>
      </w:r>
    </w:p>
    <w:p>
      <w:pPr>
        <w:spacing w:after="0" w:before="0" w:line="240" w:lineRule="auto"/>
      </w:pPr>
      <w:r>
        <w:t>[30] 保利发展控股集团股份有限公司. 2023年年度权益分派实施公告（公告编号2024-055）. 2024-07-24. 巨潮资讯网PDF</w:t>
      </w:r>
      <w:r>
        <w:t xml:space="preserve"> https://static.cninfo.com.cn/finalpage/2024-07-24/1220711764.PDF</w:t>
      </w:r>
    </w:p>
    <w:p>
      <w:pPr>
        <w:pStyle w:val="Heading1"/>
        <w:pageBreakBefore/>
      </w:pPr>
      <w:r>
        <w:t>附录A 回放与审计复现说明</w:t>
      </w:r>
    </w:p>
    <w:p>
      <w:pPr>
        <w:widowControl/>
      </w:pPr>
      <w:r>
        <w: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w:t>
      </w:r>
    </w:p>
    <w:p>
      <w:pPr>
        <w:widowControl/>
      </w:pPr>
      <w:r>
        <w: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w:t>
      </w:r>
    </w:p>
    <w:p>
      <w:pPr>
        <w:pStyle w:val="Heading1"/>
      </w:pPr>
      <w:r>
        <w:t>附录B 写作与投稿状态</w:t>
      </w:r>
    </w:p>
    <w:p>
      <w:pPr>
        <w:widowControl/>
      </w:pPr>
      <w:r>
        <w: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