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面向上市公司评价的年报与法规双语料可追溯检索增强生成</w:t>
      </w:r>
    </w:p>
    <w:p>
      <w:r>
        <w:t>实证进展修订稿  2026年10月21日  质量结果待独立复核</w:t>
      </w:r>
    </w:p>
    <w:p>
      <w:pPr>
        <w:pStyle w:val="Heading1"/>
      </w:pPr>
      <w:r>
        <w:t>摘要</w:t>
      </w:r>
    </w:p>
    <w:p>
      <w:r>
        <w:t>本文研究以年报PDF和法规文件为输入的可追溯检索增强生成流程。系统在解析、切分和索引时保存文件哈希与原文坐标；针对评价问题，分别检索公司披露证据和规范依据，再生成带来源引用及证据不足说明的回答。研究比较合并检索、双路检索及相同证据下的来源角色约束，并设置去重排、仅BM25和来源缺失实验。评测集包含20家公司2024年年报对应的60题，形成180个参考要点和123条去重参考证据。题目及证据沿用两位独立人员的既有复核与裁定，无需重新整理全部公司事实。主对照在一次失败恢复后有178/180条结构有效回答，消融有109/120条，来源缺失实验有40/40条。上述结果仅说明运行可用性；输出质量评分尚未收回，不报告方法优越性、显著性或法规适用性验证成功。</w:t>
      </w:r>
    </w:p>
    <w:p>
      <w:r>
        <w:t>关键词：检索增强生成；年度报告；法规检索；来源追溯；引用支持</w:t>
      </w:r>
    </w:p>
    <w:p>
      <w:pPr>
        <w:pStyle w:val="Heading1"/>
      </w:pPr>
      <w:r>
        <w:t>1 研究问题与相关工作</w:t>
      </w:r>
    </w:p>
    <w:p>
      <w:r>
        <w:t>公司评价需要区分公司披露、规范要求和基于两者形成的结论。只有年报不能提供完整规范依据，只有法规也不能证明公司实际行为。本文考察固定文档库和上下文预算下，按来源分开检索能否改善证据供给，以及在相同输入证据下增加来源角色约束能否改善可核验的回答。证据标签用于评测，不作为运行时必须预先建成的公司事实库。</w:t>
      </w:r>
    </w:p>
    <w:p>
      <w:r>
        <w:t>RAG将外部检索内容用于生成[1]，稠密检索为文本召回提供基础[2]；Qwen3 Embedding研究统一的嵌入与重排能力[3]，ALCE区分回答质量与引用质量[4]。因此，使用这些组件或给出引用编号本身不构成原创性证明。本研究的贡献需要由双源任务的受控对照、独立评分和失败边界支撑。当前实证结果未满足作出质量收益结论的条件。</w:t>
      </w:r>
    </w:p>
    <w:p>
      <w:r>
        <w:br w:type="page"/>
      </w:r>
    </w:p>
    <w:p>
      <w:pPr>
        <w:pStyle w:val="Heading1"/>
      </w:pPr>
      <w:r>
        <w:t>2 方法与来源追溯</w:t>
      </w:r>
    </w:p>
    <w:p>
      <w:r>
        <w:t>系统接收用户上传或导入的年报PDF及法规文件，登记公司、股票代码、报告年度、全文或摘要身份、来源、已知发布日期和文件SHA256。原PDF保留不变。PDF片段保留物理页码、页面文本帧哈希和字符区间；文本类法规保留源文件哈希及字符位置，不伪造PDF页码。OCR或解析缺字仅表示解析不确定性，不能被解释为公司事实不存在。</w:t>
      </w:r>
    </w:p>
    <w:p>
      <w:r>
        <w:t>查询包含公司、报告年度及评价问题。年报检索先限定公司和年度，法规在法规作用域内检索。稠密召回和BM25使用固定配置融合，重排后按冻结预算组装上下文。来源记录与最终提示分别保存哈希，使回答能够回到实际提供给模型的片段，而不是事后补入的材料。文档编码不添加查询指令，查询使用固定指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49"/>
          </w:tcPr>
          <w:p>
            <w:r>
              <w:t>条件</w:t>
            </w:r>
          </w:p>
        </w:tc>
        <w:tc>
          <w:tcPr>
            <w:tcW w:type="dxa" w:w="4649"/>
          </w:tcPr>
          <w:p>
            <w:r>
              <w:t>检索输入及生成要求</w:t>
            </w:r>
          </w:p>
        </w:tc>
      </w:tr>
      <w:tr>
        <w:trPr>
          <w:cantSplit/>
        </w:trPr>
        <w:tc>
          <w:tcPr>
            <w:tcW w:type="dxa" w:w="4649"/>
          </w:tcPr>
          <w:p>
            <w:r>
              <w:t>G1 合并检索</w:t>
            </w:r>
          </w:p>
        </w:tc>
        <w:tc>
          <w:tcPr>
            <w:tcW w:type="dxa" w:w="4649"/>
          </w:tcPr>
          <w:p>
            <w:r>
              <w:t>将两类来源放入共同候选池，生成时要求一般引用</w:t>
            </w:r>
          </w:p>
        </w:tc>
      </w:tr>
      <w:tr>
        <w:trPr>
          <w:cantSplit/>
        </w:trPr>
        <w:tc>
          <w:tcPr>
            <w:tcW w:type="dxa" w:w="4649"/>
          </w:tcPr>
          <w:p>
            <w:r>
              <w:t>G2 双路检索</w:t>
            </w:r>
          </w:p>
        </w:tc>
        <w:tc>
          <w:tcPr>
            <w:tcW w:type="dxa" w:w="4649"/>
          </w:tcPr>
          <w:p>
            <w:r>
              <w:t>分别检索年报与法规，再要求一般引用</w:t>
            </w:r>
          </w:p>
        </w:tc>
      </w:tr>
      <w:tr>
        <w:trPr>
          <w:cantSplit/>
        </w:trPr>
        <w:tc>
          <w:tcPr>
            <w:tcW w:type="dxa" w:w="4649"/>
          </w:tcPr>
          <w:p>
            <w:r>
              <w:t>G3 来源角色约束</w:t>
            </w:r>
          </w:p>
        </w:tc>
        <w:tc>
          <w:tcPr>
            <w:tcW w:type="dxa" w:w="4649"/>
          </w:tcPr>
          <w:p>
            <w:r>
              <w:t>复用G2完全相同的上下文和来源记录，增加必要来源角色约束</w:t>
            </w:r>
          </w:p>
        </w:tc>
      </w:tr>
    </w:tbl>
    <w:p>
      <w:r>
        <w:t>年报证据编号为A类，法规证据编号为R类。公司披露性陈述应指向年报，规范性陈述应指向法规；把公司披露与规范相比较的结论通常需要两类依据。引用编号存在、文件哈希一致和页码可打开属于结构检查，不能代替对原文是否支持论断的判断。模型自行给出的支持标签不作为人员评分。</w:t>
      </w:r>
    </w:p>
    <w:p>
      <w:r>
        <w:t>报告年度不等于每一事项的发生日期，法规发布日期也不等于生效日期。只有事项时间、版本及有效期间均有证据时，才可作明确的时点适用判断。缺失时应保留未知并限定回答。本实验没有据此宣称自动实现了可靠的法规时点适用性判断。</w:t>
      </w:r>
    </w:p>
    <w:p>
      <w:r>
        <w:t>本地神经推理使用GTX 1660 Ti上的CUDA，float16、batch size为1；不得自动回退到CPU神经推理。哈希、文件校验、BM25和统计计算属于普通本地处理。生成通过远程API运行，本机GPU不决定服务端生成速度。</w:t>
      </w:r>
    </w:p>
    <w:p>
      <w:r>
        <w:br w:type="page"/>
      </w:r>
    </w:p>
    <w:p>
      <w:pPr>
        <w:pStyle w:val="Heading1"/>
      </w:pPr>
      <w:r>
        <w:t>3 评测数据与冻结边界</w:t>
      </w:r>
    </w:p>
    <w:p>
      <w:r>
        <w:t>完整文档库和用于本轮评测的文档子集分别记录。本轮题目为20家公司各3题，共60题，覆盖审计委员会、内部控制和分红披露三个主题，各20题，报告年度统一为2024年。原始文件、旧下载清单、历史gold、独立复核原表、裁定及历史运行记录均保留，新实验使用新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49"/>
          </w:tcPr>
          <w:p>
            <w:r>
              <w:t>对象</w:t>
            </w:r>
          </w:p>
        </w:tc>
        <w:tc>
          <w:tcPr>
            <w:tcW w:type="dxa" w:w="4649"/>
          </w:tcPr>
          <w:p>
            <w:r>
              <w:t>本轮冻结内容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r>
              <w:t>问题与分组</w:t>
            </w:r>
          </w:p>
        </w:tc>
        <w:tc>
          <w:tcPr>
            <w:tcW w:type="dxa" w:w="4649"/>
          </w:tcPr>
          <w:p>
            <w:r>
              <w:t>60题；20个公司聚类；同公司三题不按独立公司计数</w:t>
            </w:r>
          </w:p>
        </w:tc>
      </w:tr>
      <w:tr>
        <w:trPr>
          <w:cantSplit/>
        </w:trPr>
        <w:tc>
          <w:tcPr>
            <w:tcW w:type="dxa" w:w="4649"/>
          </w:tcPr>
          <w:p>
            <w:r>
              <w:t>标准证据</w:t>
            </w:r>
          </w:p>
        </w:tc>
        <w:tc>
          <w:tcPr>
            <w:tcW w:type="dxa" w:w="4649"/>
          </w:tcPr>
          <w:p>
            <w:r>
              <w:t>180个参考要点；123条去重证据；256次题目与证据关联</w:t>
            </w:r>
          </w:p>
        </w:tc>
      </w:tr>
      <w:tr>
        <w:trPr>
          <w:cantSplit/>
        </w:trPr>
        <w:tc>
          <w:tcPr>
            <w:tcW w:type="dxa" w:w="4649"/>
          </w:tcPr>
          <w:p>
            <w:r>
              <w:t>既有独立复核</w:t>
            </w:r>
          </w:p>
        </w:tc>
        <w:tc>
          <w:tcPr>
            <w:tcW w:type="dxa" w:w="4649"/>
          </w:tcPr>
          <w:p>
            <w:r>
              <w:t>沿用A1和A2逐题及原件身份判断与裁定，不重复标注</w:t>
            </w:r>
          </w:p>
        </w:tc>
      </w:tr>
      <w:tr>
        <w:trPr>
          <w:cantSplit/>
        </w:trPr>
        <w:tc>
          <w:tcPr>
            <w:tcW w:type="dxa" w:w="4649"/>
          </w:tcPr>
          <w:p>
            <w:r>
              <w:t>原文定位</w:t>
            </w:r>
          </w:p>
        </w:tc>
        <w:tc>
          <w:tcPr>
            <w:tcW w:type="dxa" w:w="4649"/>
          </w:tcPr>
          <w:p>
            <w:r>
              <w:t>保留源文件哈希、物理页及字符区间；最终限制优先于旧候选编号</w:t>
            </w:r>
          </w:p>
        </w:tc>
      </w:tr>
      <w:tr>
        <w:trPr>
          <w:cantSplit/>
        </w:trPr>
        <w:tc>
          <w:tcPr>
            <w:tcW w:type="dxa" w:w="4649"/>
          </w:tcPr>
          <w:p>
            <w:r>
              <w:t>模型与预算</w:t>
            </w:r>
          </w:p>
        </w:tc>
        <w:tc>
          <w:tcPr>
            <w:tcW w:type="dxa" w:w="4649"/>
          </w:tcPr>
          <w:p>
            <w:r>
              <w:t>固定检索revision、生成参数和调用清单；费用授权无货币上限</w:t>
            </w:r>
          </w:p>
        </w:tc>
      </w:tr>
    </w:tbl>
    <w:p>
      <w:r>
        <w:t>评测集使用问题对应的原文证据，不要求先把39份年报穷尽地整理为公司事实数据库。自动关键词候选和历史演示事实不直接变成标准答案。参考证据以页面及参考要点为主要层次，不能把同页任意片段都当作语义相关，也不能把这套标签描述为穷尽的最小相关片段qrels。</w:t>
      </w:r>
    </w:p>
    <w:p>
      <w:r>
        <w:t>题目金标复核与生成输出复核是两个环节。前者已经形成既有记录；后者需要人员检查模型实际生成的回答及其原文支持。本轮输出评分表不自动填分，两人各自完成后仅裁定分歧。尚未收到实际输出评分，因此不能把金标已经完成写成生成回答已经通过人员核验。</w:t>
      </w:r>
    </w:p>
    <w:p>
      <w:r>
        <w:t>冻结记录固定了现有题目、证据、分组和主实验设置，并在后续运行前登记补跑与扩展。主实验输出此前已被查看，简化评分表和后续扩展属于生成后制定的探索性分析，不能回溯声称为未见结果的预注册研究。开发问题与最终题的暴露边界按已有审计记录解释，不声称未见公司或跨年度泛化。</w:t>
      </w:r>
    </w:p>
    <w:p>
      <w:r>
        <w:t>Q27等题目的日期限制和Q59的证据不足边界继续保留。法规身份与版本核对不自动证明其适用于每个公司事项，适用性未知的题目不得被用于已验证适用法规效果的结论。</w:t>
      </w:r>
    </w:p>
    <w:p>
      <w:r>
        <w:br w:type="page"/>
      </w:r>
    </w:p>
    <w:p>
      <w:pPr>
        <w:pStyle w:val="Heading1"/>
      </w:pPr>
      <w:r>
        <w:t>4 实验设置与统计方法</w:t>
      </w:r>
    </w:p>
    <w:p>
      <w:r>
        <w:t>检索采用Qwen3-Embedding-0.6B和Qwen3-Reranker-0.6B。Embedding revision固定为97b0c614be4d77ee51c0cef4e5f07c00f9eb65b3，Reranker revision固定为e61197ed45024b0ed8a2d74b80b4d909f1255473。加权融合的稠密权重为0.7；双路上下文按两侧各最多5条、总计6000参考分词器token封顶组装。参考分词器不等于API服务分词器，等上限不表示实际长度或计算量完全相等。</w:t>
      </w:r>
    </w:p>
    <w:p>
      <w:r>
        <w:t>主生成请求使用k3，temperature为1，输出上限16384 token，请求超时600秒，SDK自动重试为0，每个题目与方案运行1次。调度随机种子42未作为生成种子发送。服务端底层checkpoint revision未验证。原准备阶段temperature和输出上限曾因实际供应商参数限制及截断而统一修订，保留相关错误回执和预备请求，不把它们隐去。</w:t>
      </w:r>
    </w:p>
    <w:p>
      <w:r>
        <w:t>主对照为60题乘3方案，共180个单元。去重排与仅BM25消融各60题，共120个单元。来源缺失实验采用预先确定的每公司一题，共20题，分别删除全部年报或全部法规片段，合计40个单元；保留剩余片段原文与编号，不重新检索。这类实验考察证据缺失反应，不等价于一般噪声、措辞变化或跨域鲁棒性。</w:t>
      </w:r>
    </w:p>
    <w:p>
      <w:r>
        <w:t>第二模型在同一预选20题上比较3方案，共60个单元，使用kimi-for-coding别名。供应商模型说明将其映射为K2.8 Preview[5]。这是同Kimi系列不同服务版本的比较，不是跨厂商模型族泛化。两侧均不发送reasoning_effort；供应商文档列K3默认high、K2.8默认max，因此不是严格等思考预算的纯模型权重比较。</w:t>
      </w:r>
    </w:p>
    <w:p>
      <w:r>
        <w:t>精简输出评分包含公司事实、法规依据、引用支持和不确定性处理四项，每项取0、1、2或U。只有四项均为数值才计算0至8总分，U、请求失败和未运行不填为0。低分或U填写问题说明及证据位置。该探索性简表不替代原H1双源联合证据成功率和H2必要来源引用完整率，也不能从它推导原H1/H2结果。</w:t>
      </w:r>
    </w:p>
    <w:p>
      <w:r>
        <w:t>统计程序以同公司问题作为一簇，按公司整体进行2000次配对bootstrap，种子42，报告效应及点对点95%区间。缺失配对时明确报告可评分覆盖率、条件性结果和有界差值范围，不冒称完整测试集的无偏估计。人员一致性报告含U的精确一致率及数值0至2的加权kappa；退化边际下kappa未定义，不记为1。当前无实际输出评分，不生成质量效应、置信区间或p值。</w:t>
      </w:r>
    </w:p>
    <w:p>
      <w:r>
        <w:br w:type="page"/>
      </w:r>
    </w:p>
    <w:p>
      <w:pPr>
        <w:pStyle w:val="Heading1"/>
      </w:pPr>
      <w:r>
        <w:t>5 实际运行结果与研究限制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3099"/>
          </w:tcPr>
          <w:p>
            <w:r>
              <w:t>实验</w:t>
            </w:r>
          </w:p>
        </w:tc>
        <w:tc>
          <w:tcPr>
            <w:tcW w:type="dxa" w:w="3099"/>
          </w:tcPr>
          <w:p>
            <w:r>
              <w:t>实际有效回答</w:t>
            </w:r>
          </w:p>
        </w:tc>
        <w:tc>
          <w:tcPr>
            <w:tcW w:type="dxa" w:w="3099"/>
          </w:tcPr>
          <w:p>
            <w:r>
              <w:t>保留的失败或未运行记录</w:t>
            </w:r>
          </w:p>
        </w:tc>
      </w:tr>
      <w:tr>
        <w:trPr>
          <w:cantSplit/>
        </w:trPr>
        <w:tc>
          <w:tcPr>
            <w:tcW w:type="dxa" w:w="3099"/>
          </w:tcPr>
          <w:p>
            <w:r>
              <w:t>主对照首轮</w:t>
            </w:r>
          </w:p>
        </w:tc>
        <w:tc>
          <w:tcPr>
            <w:tcW w:type="dxa" w:w="3099"/>
          </w:tcPr>
          <w:p>
            <w:r>
              <w:t>147 / 180</w:t>
            </w:r>
          </w:p>
        </w:tc>
        <w:tc>
          <w:tcPr>
            <w:tcW w:type="dxa" w:w="3099"/>
          </w:tcPr>
          <w:p>
            <w:r>
              <w:t>33条失败</w:t>
            </w:r>
          </w:p>
        </w:tc>
      </w:tr>
      <w:tr>
        <w:trPr>
          <w:cantSplit/>
        </w:trPr>
        <w:tc>
          <w:tcPr>
            <w:tcW w:type="dxa" w:w="3099"/>
          </w:tcPr>
          <w:p>
            <w:r>
              <w:t>主对照一次恢复后</w:t>
            </w:r>
          </w:p>
        </w:tc>
        <w:tc>
          <w:tcPr>
            <w:tcW w:type="dxa" w:w="3099"/>
          </w:tcPr>
          <w:p>
            <w:r>
              <w:t>178 / 180</w:t>
            </w:r>
          </w:p>
        </w:tc>
        <w:tc>
          <w:tcPr>
            <w:tcW w:type="dxa" w:w="3099"/>
          </w:tcPr>
          <w:p>
            <w:r>
              <w:t>33次补跑中31成功、2失败；首轮不覆盖</w:t>
            </w:r>
          </w:p>
        </w:tc>
      </w:tr>
      <w:tr>
        <w:trPr>
          <w:cantSplit/>
        </w:trPr>
        <w:tc>
          <w:tcPr>
            <w:tcW w:type="dxa" w:w="3099"/>
          </w:tcPr>
          <w:p>
            <w:r>
              <w:t>消融</w:t>
            </w:r>
          </w:p>
        </w:tc>
        <w:tc>
          <w:tcPr>
            <w:tcW w:type="dxa" w:w="3099"/>
          </w:tcPr>
          <w:p>
            <w:r>
              <w:t>109 / 120</w:t>
            </w:r>
          </w:p>
        </w:tc>
        <w:tc>
          <w:tcPr>
            <w:tcW w:type="dxa" w:w="3099"/>
          </w:tcPr>
          <w:p>
            <w:r>
              <w:t>11条失败，全部120条已返回</w:t>
            </w:r>
          </w:p>
        </w:tc>
      </w:tr>
      <w:tr>
        <w:trPr>
          <w:cantSplit/>
        </w:trPr>
        <w:tc>
          <w:tcPr>
            <w:tcW w:type="dxa" w:w="3099"/>
          </w:tcPr>
          <w:p>
            <w:r>
              <w:t>来源缺失</w:t>
            </w:r>
          </w:p>
        </w:tc>
        <w:tc>
          <w:tcPr>
            <w:tcW w:type="dxa" w:w="3099"/>
          </w:tcPr>
          <w:p>
            <w:r>
              <w:t>40 / 40</w:t>
            </w:r>
          </w:p>
        </w:tc>
        <w:tc>
          <w:tcPr>
            <w:tcW w:type="dxa" w:w="3099"/>
          </w:tcPr>
          <w:p>
            <w:r>
              <w:t>0条失败</w:t>
            </w:r>
          </w:p>
        </w:tc>
      </w:tr>
    </w:tbl>
    <w:p>
      <w:r>
        <w:t>2026年10月21日第二模型续跑实际派发60条，返回60条，其中结构有效59条、失败1条，未派发0条。前一日首请求的额度失败独立保留，未计为内容质量低分。</w:t>
      </w:r>
    </w:p>
    <w:p>
      <w:r>
        <w:t>这里的有效仅指请求返回并通过结构检查。失败类型包括服务端504、JSON解析失败和连接错误；消融中的停止控制发生在全部120条已经派发返回后，未造成未派发单元。主对照恢复视图与原首轮分开报告，不以恢复后的分母掩盖首轮失败。</w:t>
      </w:r>
    </w:p>
    <w:p>
      <w:r>
        <w:t>输出质量结果尚缺两份实际独立评分和必要的分歧裁定。因此，当前不能判断G2是否优于G1、G3是否优于G2，或重排和稠密召回是否带来质量收益。执行成功率不是事实正确率，来源文件可回放不是引用语义支持率，年报披露不是公司真实治理质量的完整测量。</w:t>
      </w:r>
    </w:p>
    <w:p>
      <w:r>
        <w:t>本研究仅覆盖2024年部分公司和三个问题主题。同公司多题、共享法规及来源间重叠限制独立性，不能按60家独立公司解释结果。仅一次生成不足以衡量采样波动；服务端版本和默认思考配置可能变化；供应商token量不是已确认货币费用。尚未系统测试措辞扰动、跨年度、未见公司或不同模型族。</w:t>
      </w:r>
    </w:p>
    <w:p>
      <w:pPr>
        <w:pStyle w:val="Heading1"/>
      </w:pPr>
      <w:r>
        <w:t>6 结论与待完成事项</w:t>
      </w:r>
    </w:p>
    <w:p>
      <w:r>
        <w:t>本文已形成以年报与法规文件为输入、保留来源坐标、分别检索并生成引用回答的研究原型，以及60题的参考证据评测集。主对照、消融和来源缺失实验已有实际输出与失败记录。现阶段结论限于链路可执行和数据可追溯，尚不能得出方法质量收益。收回两位人员评分、裁定分歧并明确失败对应的缺失配对后，才可填入质量表格、效应图与实证结论并形成投稿定稿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 Lewis P, Perez E, Piktus A, et al. Retrieval-Augmented Generation for Knowledge-Intensive NLP Tasks. Advances in Neural Information Processing Systems, 2020, 33: 9459–9474. https://arxiv.org/abs/2005.11401</w:t>
      </w:r>
    </w:p>
    <w:p>
      <w:r>
        <w:t>[2] Karpukhin V, Oguz B, Min S, et al. Dense Passage Retrieval for Open-Domain Question Answering. Proceedings of EMNLP, 2020: 6769–6781. https://doi.org/10.18653/v1/2020.emnlp-main.550</w:t>
      </w:r>
    </w:p>
    <w:p>
      <w:r>
        <w:t>[3] Zhang Y, Li M, Long D, et al. Qwen3 Embedding: Advancing Text Embedding and Reranking Through Foundation Models. arXiv:2506.05176, 2025. https://arxiv.org/abs/2506.05176</w:t>
      </w:r>
    </w:p>
    <w:p>
      <w:r>
        <w:t>[4] Gao T, Yen H, Yu J, Chen D. Enabling Large Language Models to Generate Text with Citations. Proceedings of EMNLP, 2023: 6465–6488. https://doi.org/10.18653/v1/2023.emnlp-main.398</w:t>
      </w:r>
    </w:p>
    <w:p>
      <w:r>
        <w:t>[5] Kimi. 模型配置. https://www.kimi.com/help/kimi-code/models. 模型别名映射核对日期 2026-10-20。服务端底层revision未验证。</w:t>
      </w:r>
    </w:p>
    <w:p>
      <w:pPr>
        <w:pStyle w:val="Heading1"/>
      </w:pPr>
      <w:r>
        <w:t>复现记录说明</w:t>
      </w:r>
    </w:p>
    <w:p>
      <w:r>
        <w:t>数据与设置冻结文件：results/runs/paper_execution_freeze_windows_20261020_01/execution_freeze.json。其SHA256为f0eecd3e4f7f129364311b2daa86d0e2ca6aad6af57ac269a14c210be3ffc2c7。历史主对照、失败恢复、消融、来源缺失及第二模型记录使用相互独立的新输出目录。所有文件路径由项目根目录解析，API密钥不写入论文或材料包。</w:t>
      </w:r>
    </w:p>
    <w:p>
      <w:r>
        <w:t>本稿使用真实执行记录更新方法、数据与运行状态，保留历史稿件。原先相关工作扩展和更详细的工程记录仍在历史稿中；本修订稿未新增未经核验的文献性能比较。完成质量复核前，本稿不应标作最终投稿稿。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实证进展修订稿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面向上市公司评价的年报与法规双语料可追溯检索增强生成</dc:title>
  <dc:subject>实证进展修订稿 质量结论待独立复核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