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公司披露与规范依据在上市公司评价中承担不同证据角色，但来源分离、提示约束与检索质量的作用容易混淆。本文构建保留文档身份及原文坐标的双源检索增强生成流程，在20家公司2024年年报的60个问题上比较合并检索、双路检索和相同上下文下的来源角色提示，并设置检索简化、来源缺失及同系列服务版本比较。400个计划回答中386个有效输出经两位人员独立核对原文评分。新增实验完成1800个缓存预算配额回放与600个新BM25上下文，120个原配置上下文逐字复现，并补充维度、主题、缺失和运行开销诊断。已观测配对中，双路较合并检索的0至8分公司宏均分提高0.250，95%公司聚类bootstrap区间为[0.167,0.333]；同证据下角色提示增量为−0.008，区间跨0。双路的两类来源同现率从68.3%增至100%，但严格来源定位覆盖均值未提高，法规参考位置覆盖仍有限。质量收益主要出现在法规评分与审计委员会主题，引用及不确定性评分存在明显天花板。结果支持在本任务中区分来源角色的供给价值，同时揭示来源平衡、目标证据定位和回答质量之间不能相互替代。本文保留反向与零增益结果，结论限于探索性样本及所用指标。</w:t>
      </w:r>
    </w:p>
    <w:p>
      <w:pPr>
        <w:widowControl/>
      </w:pPr>
      <w:r>
        <w:t>关键词：检索增强生成；年度报告；法规证据；来源追溯；预算回放；人工评价</w:t>
      </w:r>
    </w:p>
    <w:p>
      <w:pPr>
        <w:pStyle w:val="Heading1"/>
      </w:pPr>
      <w:r>
        <w:t>Abstract</w:t>
      </w:r>
    </w:p>
    <w:p>
      <w:pPr>
        <w:widowControl/>
      </w:pPr>
      <w:r>
        <w:t>Corporate evaluation requires both company disclosures and regulatory evidence, yet the effects of source separation, prompting, and retrieval quality are easily conflated. We develop a traceable dual-source retrieval-augmented generation pipeline and evaluate merged retrieval, dual retrieval, and role-constrained prompting with identical evidence. The study covers 60 questions about 20 companies’ annual reports for 2024. Two reviewers independently assessed 386 valid outputs from 400 planned responses across main comparisons, retrieval ablations, source-removal tests, and a same-family service-version comparison. Additional experiments replay 1,800 cached configurations and execute 60 fresh BM25 queries over 600 context configurations, reproducing all 120 original contexts exactly. On observed pairs, dual retrieval improves the company-macro quality score by 0.250 points on a 0–8 scale, with a company-clustered 95% bootstrap interval of [0.167, 0.333]. Role prompting yields no stable additional benefit. Dual retrieval increases two-source presence from 68.3% to 100%, while average reference-location coverage does not improve and regulatory reference-page coverage remains limited. Quality gains concentrate in the regulation dimension and audit-committee questions; citation and uncertainty scores exhibit substantial ceiling effects. These exploratory results separate source availability from target-evidence coverage and answer quality, exposing both the benefits and limitations of source-aware retrieval organization.</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研究设置三个主要问题。RQ1考察按来源独立检索，相对于合并检索能否改善当前任务的回答质量；RQ2在逐字相同的检索上下文下，考察来源角色提示的增量作用；RQ3考察配置简化、材料缺失和同系列服务版本变化对观察结果的影响。为解释结果，本文新增预算与候选配额回放、检索位置代理、评分维度拆解、逐公司敏感性和运行开销分析。</w:t>
      </w:r>
    </w:p>
    <w:p>
      <w:pPr>
        <w:widowControl/>
      </w:pPr>
      <w:r>
        <w:t>本文的工作包括：实现保留文档身份、物理位置及实际提示记录的双源RAG原型；用受控比较拆分检索组织与生成提示的作用；在20家公司60题和两位人员评分上报告正向、零增益及反向差异；通过不改变历史回答的新回放实验检查来源供给机制。本文不把现成模型的组合宣称为新基础算法，也不以引用编号有效替代语义质量。</w:t>
      </w:r>
    </w:p>
    <w:p>
      <w:pPr>
        <w:widowControl/>
      </w:pPr>
      <w:r>
        <w:t>在已观测配对中，双路检索相对合并检索呈现正向差异，而同上下文的角色提示没有稳定额外收益；去重排和仅BM25的描述性高分提醒我们，增加检索复杂度并不自动改善专业问答。本文因此采用实证研究定位：说明何种证据组织有帮助、哪些组件未显示收益，以及现有测量还能支持多大范围的结论。该定位也决定了后续分析保留负结果和失败记录。</w:t>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cantSplit/>
          <w:tblHeader/>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独立评分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共3088个0/1/2数值；没有U</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p>
    <w:p>
      <w:pPr>
        <w:pStyle w:val="Caption"/>
        <w:keepNext/>
        <w:widowControl/>
      </w:pPr>
      <w:r>
        <w:t>表5 实际比较与新增分析的范围</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G1/G2组织差异；G2/G3同上下文</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新统计诊断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386输出 / 400单元清单</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复算既有评分，不新增人工标签</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新稀疏检索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运行一次。调度随机种子42没有发送为生成随机种子，不能据此宣称可精确复现采样。准备阶段因供应商参数限制或截断发生的请求设置修订及错误回执均保存。主对照首轮147/180有效，一次失败恢复后178/180；不以恢复视图覆盖首轮。</w:t>
      </w:r>
    </w:p>
    <w:p>
      <w:pPr>
        <w:pStyle w:val="Heading2"/>
      </w:pPr>
      <w:r>
        <w:t>4.4 双人评分与可测量内容</w:t>
      </w:r>
    </w:p>
    <w:p>
      <w:pPr>
        <w:widowControl/>
      </w:pPr>
      <w:r>
        <w:t>两位人员分别对实际回答核对原文，评分包含公司事实、法规依据、引用支持和不确定性处理，每维0、1、2或U。只有两人四维均为数值时计算均分总量Q_i=(1/2)∑_r∑_j s_irj，范围0至8。本轮没有U，失败与未运行不填质量0分。均分是分析指标，不是分歧裁定或一致金标。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新回放与检索诊断指标</w:t>
      </w:r>
    </w:p>
    <w:p>
      <w:pPr>
        <w:widowControl/>
      </w:pPr>
      <w:r>
        <w:t>新增回放使用保存的最终候选排序，不调用生成器、不重新编码文本。候选总数取2、6、10，双路对应每侧1、3、5；预算取1000、2000、4000、6000、8000参考tokens，共1800个上下文。所有条件均通过同一个完整片段组装器和冻结参考分词器，并验证默认10候选、6000上限的120个原上下文逐字复现。</w:t>
      </w:r>
    </w:p>
    <w:p>
      <w:pPr>
        <w:widowControl/>
      </w:pPr>
      <w:r>
        <w:t>定位指标按参考来源的真实形式计算：122条PDF参考使用文件SHA256与物理页序，1条LAW-DOC004-TEXT参考没有物理页，按整个TXT来源哈希定位，并在20个内控问题中复用。分别计算每题两类来源的参考位置覆盖，再取角色均值。双角色出现率只检查A/R片段同时存在；双参考角色可用率要求两类各至少命中一条参考位置。这些均是非语义代理。法规汇总混合了页级和整来源粒度，本文另报告PDF-only与TXT-only结果，避免把粗粒度命中解释成更精准的法规检索。</w:t>
      </w:r>
    </w:p>
    <w:p>
      <w:pPr>
        <w:widowControl/>
      </w:pPr>
      <w:r>
        <w:t>来源哈希严格相等不会自动合并同一法规的文本版本、PDF版本或其他等价支持材料。因此，低位置覆盖既可能意味着目标原文未检索，也可能未计入替代来源。新增12字符连续片段覆盖仅作词面补充，同样不能确认语义等价。解释结果时必须同时保留严格命中的可审计性和非穷尽参考带来的漏计可能。</w:t>
      </w:r>
    </w:p>
    <w:p>
      <w:pPr>
        <w:pStyle w:val="Heading1"/>
      </w:pPr>
      <w:r>
        <w:t>5 主实验与评分诊断</w:t>
      </w:r>
    </w:p>
    <w:p>
      <w:pPr>
        <w:pStyle w:val="Heading2"/>
      </w:pPr>
      <w:r>
        <w:t>5.1 运行覆盖与质量分布</w:t>
      </w:r>
    </w:p>
    <w:p>
      <w:pPr>
        <w:widowControl/>
      </w:pPr>
      <w:r>
        <w:t>400个计划回答中，主对照恢复视图178个、消融109个、来源缺失40个、第二版本59个，共386个结构有效输出。最终14个单元无有效回答。有效表示返回且通过结构检查，不表示事实、引用或适用性已经正确。失败包括服务端504、JSON解析及连接问题，消融全部120条均已派发返回。</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7.292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t>5.2 双路检索与角色提示的增量</w:t>
      </w:r>
    </w:p>
    <w:p>
      <w:pPr>
        <w:widowControl/>
      </w:pPr>
      <w:r>
        <w:t>主对照G2−G1的公司宏差值为0.250，原95%区间[0.167,0.333]；两位人员分别为0.267和0.233，方向一致。G3−G1为0.267，但G3−G2为−0.008，区间[−0.050,0.025]，说明额外的来源角色措辞并未产生稳定增量。G3与G2在58个已知配对中只有1胜、56平、1负，粗量表下多数题目无法区分。</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[0.167, 0.333]</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 0.025]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[0.183, 0.350]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[-0.404, -0.204]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[-0.404, -0.246]</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原主结果与人员敏感性。保留历史2000次bootstrap区间，新增诊断不覆盖原记录。</w:t>
      </w:r>
    </w:p>
    <w:p>
      <w:pPr>
        <w:pStyle w:val="Heading2"/>
      </w:pPr>
      <w:r>
        <w:t>5.3 新增逐维度分析</w:t>
      </w:r>
    </w:p>
    <w:p>
      <w:pPr>
        <w:widowControl/>
      </w:pPr>
      <w:r>
        <w:t>总分变化主要来自哪些维度，决定了结果应如何表述。新增分解显示，G2−G1在公司事实维度为−0.017、法规维度为+0.267，引用和不确定性均为0。因而总分正差不能改写为“各方面质量普遍提高”，更不能把法规评分提升解释为自动判对法规时点。</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p>
    <w:p>
      <w:pPr>
        <w:pStyle w:val="Caption"/>
        <w:keepNext/>
        <w:widowControl/>
      </w:pPr>
      <w:r>
        <w:t>表8 新增双人均分的维度配对效应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cantSplit/>
          <w:tblHeader/>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未知处理Δ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G3-BM25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-0.362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NoAnnual-G3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NoRegulation-G3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-0.675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-0.650</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新增维度效应。10000次公司聚类bootstrap；四维度均使用0至2量尺，误差线为点对点95%区间。</w:t>
      </w:r>
    </w:p>
    <w:p>
      <w:pPr>
        <w:pStyle w:val="Heading2"/>
      </w:pPr>
      <w:r>
        <w:t>5.4 新增主题异质性</w:t>
      </w:r>
    </w:p>
    <w:p>
      <w:pPr>
        <w:widowControl/>
      </w:pPr>
      <w:r>
        <w:t>G2−G1的差异集中在审计委员会主题D2，已知19个配对的均差约0.684；分红披露D1为0.100，内部控制D3为0。每个主题仍只有20家公司各一题，主题分析属于事后分层，不足以说明该领域所有审计委员会问题都有相同收益。</w:t>
      </w:r>
    </w:p>
    <w:p>
      <w:pPr>
        <w:widowControl/>
      </w:pPr>
      <w:r>
        <w:t>该分布使总体结论更具体：观察到的收益并不平均分布于三个主题。它可能与问题对规范依据的需求及实际候选组成有关，但本研究没有通过独立中介实验排除题目措辞、参考要点与评分分辨率的影响。报告分层结果的目的，是给出可进一步检验的失败与收益范围。</w:t>
      </w:r>
    </w:p>
    <w:p>
      <w:pPr>
        <w:pStyle w:val="Caption"/>
        <w:keepNext/>
        <w:widowControl/>
      </w:pPr>
      <w:r>
        <w:t>表9 新增主题分层配对差异</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主题</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 0.200]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0.684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[0.474, 0.868]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[-0.158,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-0.618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[-0.853,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0.147]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[-0.425, -0.175]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-0.750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[-0.972, -0.583]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[0.206,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[-0.583, -0.417]</w:t>
            </w:r>
          </w:p>
        </w:tc>
      </w:tr>
    </w:tbl>
    <w:p>
      <w:pPr>
        <w:keepNext/>
      </w:pPr>
      <w:r>
        <w:drawing>
          <wp:inline xmlns:a="http://schemas.openxmlformats.org/drawingml/2006/main" xmlns:pic="http://schemas.openxmlformats.org/drawingml/2006/picture">
            <wp:extent cx="5868000" cy="2388878"/>
            <wp:docPr id="6" name="Picture 6"/>
            <wp:cNvGraphicFramePr>
              <a:graphicFrameLocks noChangeAspect="1"/>
            </wp:cNvGraphicFramePr>
            <a:graphic>
              <a:graphicData uri="http://schemas.openxmlformats.org/drawingml/2006/picture">
                <pic:pic>
                  <pic:nvPicPr>
                    <pic:cNvPr id="0" name="quality_topic_effects.png"/>
                    <pic:cNvPicPr/>
                  </pic:nvPicPr>
                  <pic:blipFill>
                    <a:blip r:embed="rId15"/>
                    <a:stretch>
                      <a:fillRect/>
                    </a:stretch>
                  </pic:blipFill>
                  <pic:spPr>
                    <a:xfrm>
                      <a:off x="0" y="0"/>
                      <a:ext cx="5868000" cy="2388878"/>
                    </a:xfrm>
                    <a:prstGeom prst="rect"/>
                  </pic:spPr>
                </pic:pic>
              </a:graphicData>
            </a:graphic>
          </wp:inline>
        </w:drawing>
      </w:r>
    </w:p>
    <w:p>
      <w:pPr>
        <w:pStyle w:val="Caption"/>
        <w:widowControl/>
      </w:pPr>
      <w:r>
        <w:t>图6 新增主题异质性。D1为分红披露，D2为审计委员会，D3为内部控制；分层区间未经多重比较校正。</w:t>
      </w:r>
    </w:p>
    <w:p>
      <w:pPr>
        <w:pStyle w:val="Heading2"/>
      </w:pPr>
      <w:r>
        <w:t>5.5 评分者差异与量表天花板</w:t>
      </w:r>
    </w:p>
    <w:p>
      <w:pPr>
        <w:widowControl/>
      </w:pPr>
      <w:r>
        <w:t>386条回答共1544对逐维度评分，1312对一致，精确一致率84.97%。法规项一致率仅55.96%，二次加权κ约0.201。人员2的法规分相对人员1平均低0.435，显示法规评分存在明显尺度或判断差异。均分能够对称保留两人的信息，但不能将这种差异自动变成共识。</w:t>
      </w:r>
    </w:p>
    <w:p>
      <w:pPr>
        <w:widowControl/>
      </w:pPr>
      <w:r>
        <w:t>引用与不确定性精确一致率分别为97.67%和99.74%，但由于一侧分值恒定，κ均为0。高一致率在这里伴随近满分分布，不能据此宣称测量高度可靠。若大量回答在同一档位，统计上小的差异既可能表示方法接近，也可能表示量表缺乏分辨率；本文不选择其中一种作为已证实解释。</w:t>
      </w:r>
    </w:p>
    <w:p>
      <w:pPr>
        <w:pStyle w:val="Caption"/>
        <w:keepNext/>
        <w:widowControl/>
      </w:pPr>
      <w:r>
        <w:t>表10 新增评分者尺度诊断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92.7%</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0.201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-0.435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图7 评分天花板与人员满分率。近满分维度不能据其高一致率推导逐论断可靠性。</w:t>
      </w:r>
    </w:p>
    <w:p>
      <w:pPr>
        <w:pStyle w:val="Heading2"/>
      </w:pPr>
      <w:r>
        <w:t>5.6 消融来源与服务版本</w:t>
      </w:r>
    </w:p>
    <w:p>
      <w:pPr>
        <w:widowControl/>
      </w:pPr>
      <w:r>
        <w:t>G3在已观测配对上低于去重排与仅BM25，差值分别为−0.300和−0.325。人员间对BM25比较方向不同，相关缺失敏感性界限也跨0，因此结论不能写成重排必然有害或稠密检索普遍失败。更合理的观察是，在当前任务和量表下，完整配置未显示普遍优势。</w:t>
      </w:r>
    </w:p>
    <w:p>
      <w:pPr>
        <w:widowControl/>
      </w:pPr>
      <w:r>
        <w:t>预选20题的来源缺失配对完整，删除年报下降0.900，删除法规下降0.650。该结果与来源互补一致，但不提供来源角色标签的纯因果效应，因为删除改变内容与实际上下文长度。缺失后保留高不确定性分也不表示问题已被完整回答。</w:t>
      </w:r>
    </w:p>
    <w:p>
      <w:pPr>
        <w:widowControl/>
      </w:pPr>
      <w:r>
        <w:t>三个K2.8减K3比较的原点对点区间均包含或接触0，评分者方向也不一致。未统一的服务思考预算使版本比较存在潜在计算条件混杂。即使将来增加重复生成，也需要控制调用参数和服务身份，不能仅增加样本就把它升级为严格的跨模型族验证。</w:t>
      </w:r>
    </w:p>
    <w:p>
      <w:pPr>
        <w:pStyle w:val="Caption"/>
        <w:keepNext/>
        <w:widowControl/>
      </w:pPr>
      <w:r>
        <w:t>表11 同系列服务版本差异 保留原分析</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K2.8减K3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[-0.150,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19/20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[-0.158,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K28-K3__G3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[-0.075, 0.150]</w:t>
            </w:r>
          </w:p>
        </w:tc>
      </w:tr>
    </w:tbl>
    <w:p>
      <w:pPr>
        <w:pStyle w:val="Heading2"/>
      </w:pPr>
      <w:r>
        <w:t>5.7 新增完整样本与缺失敏感性</w:t>
      </w:r>
    </w:p>
    <w:p>
      <w:pPr>
        <w:widowControl/>
      </w:pPr>
      <w:r>
        <w:t>逐公司删一分析中，G2−G1仍保持正向，范围[0.237,0.263]；G3−G2范围[−0.018,0.009]跨0。五方法都有输出的49题子集中，G2−G1为+0.213，G3−G2为−0.038；在12个完整公司36题上分别为+0.208和0。这些结果说明当前方向不完全依赖某一个公司或某一对缺失题，但共同成功子集仍有选择偏差。</w:t>
      </w:r>
    </w:p>
    <w:p>
      <w:pPr>
        <w:widowControl/>
      </w:pPr>
      <w:r>
        <w:t>新增锐界保留了缺失配对中的已知一侧，通常比将整对当作[−8,8]更窄。G2−G1全60题的问题加权均差锐界为[0.133,0.267]，仍为正；G3−G2为[−0.133,0.133]。G3对两个简化配置的锐界均跨0，因而不能将观察到的简化配置优势称为对全计划题目缺失稳健。锐界是代数可行范围，不是置信区间，不以其跨度衡量统计精度。</w:t>
      </w:r>
    </w:p>
    <w:p>
      <w:pPr>
        <w:pStyle w:val="Caption"/>
        <w:keepNext/>
        <w:widowControl/>
      </w:pPr>
      <w:r>
        <w:t>表12 新增删一与已知单侧缺失界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[0.237,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18/41/0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[-0.018, 0.009]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0.133]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1/56/1</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[-0.400, 0.400]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2/26/26</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[-0.342, -0.303]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[-0.442, 0.492]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11/7/35</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图8 新增缺失与逐公司删一敏感性。本图观测均差区间以20000次公司聚类bootstrap补算，种子20261023，与维度、主题图的10000次不同。公司宏均差区间与完整题均差的代数界是不同估计对象，不能将后者读作置信区间。</w:t>
      </w:r>
    </w:p>
    <w:p>
      <w:pPr>
        <w:pStyle w:val="Heading1"/>
      </w:pPr>
      <w:r>
        <w:t>6 新增检索实验与运行分析</w:t>
      </w:r>
    </w:p>
    <w:p>
      <w:pPr>
        <w:pStyle w:val="Heading2"/>
      </w:pPr>
      <w:r>
        <w:t>6.1 来源供给与目标定位覆盖</w:t>
      </w:r>
    </w:p>
    <w:p>
      <w:pPr>
        <w:widowControl/>
      </w:pPr>
      <w:r>
        <w:t>新增回放在原配置下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p>
    <w:p>
      <w:pPr>
        <w:pStyle w:val="Caption"/>
        <w:keepNext/>
        <w:widowControl/>
      </w:pPr>
      <w:r>
        <w:t>表13 新增原配置回放来源供给与严格目标位置代理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cantSplit/>
          <w:tblHeader/>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图9 新增来源分配回放。类型同时存在是供给指标，不能替代参考页面覆盖或语义支持。</w:t>
      </w:r>
    </w:p>
    <w:p>
      <w:pPr>
        <w:pStyle w:val="Heading2"/>
      </w:pPr>
      <w:r>
        <w:t>6.2 预算配额回放与阶段损失</w:t>
      </w:r>
    </w:p>
    <w:p>
      <w:pPr>
        <w:widowControl/>
      </w:pPr>
      <w:r>
        <w:t>1800个上下文覆盖五个token上限和三个候选配额，使用与历史相同的候选顺序。原配置120/120逐字复现，说明后续变化来自本轮指定的候选截取与组装，而不是另一个实现。预算增加允许更多整片段进入，但如果目标原文不在保存候选中，仅增加上下文长度不能恢复它。</w:t>
      </w:r>
    </w:p>
    <w:p>
      <w:pPr>
        <w:widowControl/>
      </w:pPr>
      <w:r>
        <w:t>在原6000配置中，G2十个候选全部装入，最终法规目标位置仍在53/60题缺失；G1在60/60题中都没有严格命中法规参考位置。因此，至少对这些目标来源—页面键而言，主要差距发生在候选选择阶段，而非默认G2的token组装阶段。若另有等价文本来源获检索，此指标不会计入，需通过独立语义对齐确认。</w:t>
      </w:r>
    </w:p>
    <w:p>
      <w:pPr>
        <w:widowControl/>
      </w:pPr>
      <w:r>
        <w:t>这项实验不重新搜索候选池之外的片段，也不生成1800条答案。它能验证同一保存排序的预算敏感性，不能说明改变top-k后重新执行神经检索或重排的端到端效果。高预算回放中的质量推断应停留在证据供给层面；任何回答质量收益仍需要实际生成与独立评分。</w:t>
      </w:r>
    </w:p>
    <w:p>
      <w:pPr>
        <w:pStyle w:val="Caption"/>
        <w:keepNext/>
        <w:widowControl/>
      </w:pPr>
      <w:r>
        <w:t>表14 新增预算回放 总候选上限10</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参考上限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保留片段</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角色宏定位覆盖</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图10 新增预算敏感性，总候选上限10。曲线为缓存候选回放，不包含重检索、生成或新人工评分。</w:t>
      </w:r>
    </w:p>
    <w:p>
      <w:pPr>
        <w:keepNext/>
      </w:pPr>
      <w:r>
        <w:drawing>
          <wp:inline xmlns:a="http://schemas.openxmlformats.org/drawingml/2006/main" xmlns:pic="http://schemas.openxmlformats.org/drawingml/2006/picture">
            <wp:extent cx="5868000" cy="2253934"/>
            <wp:docPr id="11" name="Picture 11"/>
            <wp:cNvGraphicFramePr>
              <a:graphicFrameLocks noChangeAspect="1"/>
            </wp:cNvGraphicFramePr>
            <a:graphic>
              <a:graphicData uri="http://schemas.openxmlformats.org/drawingml/2006/picture">
                <pic:pic>
                  <pic:nvPicPr>
                    <pic:cNvPr id="0" name="R2_topic_page_coverage.png"/>
                    <pic:cNvPicPr/>
                  </pic:nvPicPr>
                  <pic:blipFill>
                    <a:blip r:embed="rId20"/>
                    <a:stretch>
                      <a:fillRect/>
                    </a:stretch>
                  </pic:blipFill>
                  <pic:spPr>
                    <a:xfrm>
                      <a:off x="0" y="0"/>
                      <a:ext cx="5868000" cy="2253934"/>
                    </a:xfrm>
                    <a:prstGeom prst="rect"/>
                  </pic:spPr>
                </pic:pic>
              </a:graphicData>
            </a:graphic>
          </wp:inline>
        </w:drawing>
      </w:r>
    </w:p>
    <w:p>
      <w:pPr>
        <w:pStyle w:val="Caption"/>
        <w:widowControl/>
      </w:pPr>
      <w:r>
        <w:t>图11 新增主题分层目标定位覆盖。严格来源哈希匹配不自动合并替代法规文本；数值不是标准片段Recall。</w:t>
      </w:r>
    </w:p>
    <w:p>
      <w:pPr>
        <w:pStyle w:val="Heading2"/>
      </w:pPr>
      <w:r>
        <w:t>6.3 新执行的BM25基线与定位粒度敏感性</w:t>
      </w:r>
    </w:p>
    <w:p>
      <w:pPr>
        <w:widowControl/>
      </w:pPr>
      <w:r>
        <w:t>为避免只对已有结果重画图，本文新增运行同范围的CPU BM25检索。使用项目原BM25与jieba实现，k1=1.5、b=0.75；IDF在完整19367片段上拟合，与原混合检索组件一致。返回候选仍排除335个旧版本片段，只在19032个合格片段中选择，年报按公司与年度约束。公开问题直接用作查询，排名ID在读取参考答案之前落盘，防止以参考引文构造有利查询。</w:t>
      </w:r>
    </w:p>
    <w:p>
      <w:pPr>
        <w:widowControl/>
      </w:pPr>
      <w:r>
        <w:t>60条问题均完成merged与dual两种检索，每个排序在五种预算下组装，产生600个新上下文。此处是新执行的稀疏检索，不是缓存神经排序的再截取；同样没有调用生成器，因此不能拿它替代先前人工评分的BM25生成条件，也不能把两套BM25条件的数据直接拼成一次端到端实验。</w:t>
      </w:r>
    </w:p>
    <w:p>
      <w:pPr>
        <w:pStyle w:val="Caption"/>
        <w:keepNext/>
        <w:widowControl/>
      </w:pPr>
      <w:r>
        <w:t>表15 新BM25与缓存混合重排在6000上限的来源定位代理</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检索来源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双参考角色</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5381</w:t>
            </w:r>
          </w:p>
        </w:tc>
      </w:tr>
    </w:tbl>
    <w:p>
      <w:pPr>
        <w:widowControl/>
      </w:pPr>
      <w:r>
        <w:t>表面上，新BM25的法规位置覆盖达到30.00%和33.33%，高于缓存混合重排。但逐粒度拆分后，这一改善完全来自整份TXT来源匹配：内控20题中，BM25合并和双路分别命中18/20和20/20个来源；而在40个PDF法规参考问题上，两个BM25策略的页级覆盖均为0，缓存双路为5.83%。因此，汇总代理的提高主要反映定位粒度与文档身份，不是BM25已经实现更精确的法律段落检索。</w:t>
      </w:r>
    </w:p>
    <w:p>
      <w:pPr>
        <w:widowControl/>
      </w:pPr>
      <w:r>
        <w:t>这一敏感性实验说明，在混合文档形态的RAG评测中，页级与源文件级标注不能无说明地放在一个“检索准确率”中。整份法规文件被检索到，比没有该文件更有利，但不保证返回片段位于相关条文，也不能证明适用版本正确。对于来源单位不同的指标，应保持拆分结果，以免系统因命中较粗的标签而显得更优。</w:t>
      </w:r>
    </w:p>
    <w:p>
      <w:pPr>
        <w:pStyle w:val="Caption"/>
        <w:keepNext/>
        <w:widowControl/>
      </w:pPr>
      <w:r>
        <w:t>表16 法规定位粒度拆分 不同分母不得直接比较</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方法</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PDF-only 40题页覆盖</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TXT-only 20题来源命中</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 / 20</w:t>
            </w:r>
          </w:p>
        </w:tc>
      </w:tr>
    </w:tbl>
    <w:p>
      <w:pPr>
        <w:widowControl/>
      </w:pPr>
      <w:r>
        <w:t>作为替代来源敏感性补充，去除来源身份限制后的法规参考引文12字符词面覆盖，在缓存G1/G2中分别为0.59%与11.88%；G2有33题虽然严格参考位置未命中，但在其他来源或页面出现部分参考措辞。例如规范复述、修订决定与正文重复，都可能导致这种现象。词面重叠不证明法规等价、版本相同或具体论断受支持，因此它只提示严格定位可能漏计替代材料，不能把两种指标加总成语义正确率。</w:t>
      </w:r>
    </w:p>
    <w:p>
      <w:pPr>
        <w:widowControl/>
      </w:pPr>
      <w:r>
        <w:t>本次对照仍受组件条件限制：缓存混合结果来自已保存神经候选，而新BM25重新执行稀疏检索；没有同时重跑完整神经链。已有模型revision与原始查询保持记录，供未来在相同机器和同次执行中复核。当前实验的作用是揭示指标、定位粒度与来源供给的关系，不据此宣称一种完整系统胜出。</w:t>
      </w:r>
    </w:p>
    <w:p>
      <w:pPr>
        <w:pStyle w:val="Heading2"/>
      </w:pPr>
      <w:r>
        <w:t>6.4 结构引用与真实质量的分离</w:t>
      </w:r>
    </w:p>
    <w:p>
      <w:pPr>
        <w:widowControl/>
      </w:pPr>
      <w:r>
        <w:t>新增结构解析统计G1、G2、G3分别产生868、913、1051条模型自报claims，平均每回答约14.47、15.47、17.81条。带有A和R两类ID的模型论断比例从约2.30%、4.38%增至11.23%。这表明角色提示改变了输出组织，但不能证明新增论断或新增双源连线受到原文支持。</w:t>
      </w:r>
    </w:p>
    <w:p>
      <w:pPr>
        <w:widowControl/>
      </w:pPr>
      <w:r>
        <w:t>三条件均未出现无法解析到输入集合的来源ID，说明编号检查能够通过；这与引用语义正确并不是一回事。更多claims还可能来自复合论断拆分粒度不同，或回答更长。本文因此将结构图放在证据使用诊断中，不把它作为角色提示优于G2的质量证据，也不拿supported字段统计“真实性”。</w:t>
      </w:r>
    </w:p>
    <w:p>
      <w:pPr>
        <w:pStyle w:val="Caption"/>
        <w:keepNext/>
        <w:widowControl/>
      </w:pPr>
      <w:r>
        <w:t>表17 新增引用结构代理 仅模型输出结构</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回答数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模型claims数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每回答claims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双角色ID论断比例</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未知ID数</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1051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17.81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16.72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w:t>
            </w:r>
          </w:p>
        </w:tc>
      </w:tr>
    </w:tbl>
    <w:p>
      <w:pPr>
        <w:keepNext/>
      </w:pPr>
      <w:r>
        <w:drawing>
          <wp:inline xmlns:a="http://schemas.openxmlformats.org/drawingml/2006/main" xmlns:pic="http://schemas.openxmlformats.org/drawingml/2006/picture">
            <wp:extent cx="5868000" cy="2343771"/>
            <wp:docPr id="12" name="Picture 12"/>
            <wp:cNvGraphicFramePr>
              <a:graphicFrameLocks noChangeAspect="1"/>
            </wp:cNvGraphicFramePr>
            <a:graphic>
              <a:graphicData uri="http://schemas.openxmlformats.org/drawingml/2006/picture">
                <pic:pic>
                  <pic:nvPicPr>
                    <pic:cNvPr id="0" name="citation_structure_proxies.png"/>
                    <pic:cNvPicPr/>
                  </pic:nvPicPr>
                  <pic:blipFill>
                    <a:blip r:embed="rId21"/>
                    <a:stretch>
                      <a:fillRect/>
                    </a:stretch>
                  </pic:blipFill>
                  <pic:spPr>
                    <a:xfrm>
                      <a:off x="0" y="0"/>
                      <a:ext cx="5868000" cy="2343771"/>
                    </a:xfrm>
                    <a:prstGeom prst="rect"/>
                  </pic:spPr>
                </pic:pic>
              </a:graphicData>
            </a:graphic>
          </wp:inline>
        </w:drawing>
      </w:r>
    </w:p>
    <w:p>
      <w:pPr>
        <w:pStyle w:val="Caption"/>
        <w:widowControl/>
      </w:pPr>
      <w:r>
        <w:t>图12 新增模型输出结构诊断。claims、支持标签与来源ID同现均为模型自报或语法属性，不是人员语义标签。</w:t>
      </w:r>
    </w:p>
    <w:p>
      <w:pPr>
        <w:pStyle w:val="Heading2"/>
      </w:pPr>
      <w:r>
        <w:t>6.5 请求token与延迟</w:t>
      </w:r>
    </w:p>
    <w:p>
      <w:pPr>
        <w:widowControl/>
      </w:pPr>
      <w:r>
        <w:t>保存日志允许报告最终选取成功调用的prompt、completion、总token及请求延迟，但不包含此前失败请求、检索建库和全部恢复消耗，也不含真实供应商单价。因此本节使用资源用量描述，不报告货币成本优势或端到端响应速度。不同条件运行时的并发、网络和服务负载不相同，不能把延迟差直接归因于模型算法。</w:t>
      </w:r>
    </w:p>
    <w:p>
      <w:pPr>
        <w:widowControl/>
      </w:pPr>
      <w:r>
        <w:t>例如，G2的参考上下文比G1短，不等于总生成token按同比例减少，因为推理与回答长度也可能变化。角色提示增加结构化论断后，输出用量可能上升，而量表又未显示稳定增益。对于部署选择，这种开销与可测收益应共同报告，而不是只展示输入token节省。</w:t>
      </w:r>
    </w:p>
    <w:p>
      <w:pPr>
        <w:pStyle w:val="Caption"/>
        <w:keepNext/>
        <w:widowControl/>
      </w:pPr>
      <w:r>
        <w:t>表18 最终选取成功调用的资源均值 非端到端成本</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样本</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输入token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请求秒数中位</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4438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3579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96.6</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7928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113.4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3849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8152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122.4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4789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5141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4061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9202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85.6</w:t>
            </w:r>
          </w:p>
        </w:tc>
      </w:tr>
    </w:tbl>
    <w:p>
      <w:pPr>
        <w:keepNext/>
      </w:pPr>
      <w:r>
        <w:drawing>
          <wp:inline xmlns:a="http://schemas.openxmlformats.org/drawingml/2006/main" xmlns:pic="http://schemas.openxmlformats.org/drawingml/2006/picture">
            <wp:extent cx="5868000" cy="2270243"/>
            <wp:docPr id="13" name="Picture 13"/>
            <wp:cNvGraphicFramePr>
              <a:graphicFrameLocks noChangeAspect="1"/>
            </wp:cNvGraphicFramePr>
            <a:graphic>
              <a:graphicData uri="http://schemas.openxmlformats.org/drawingml/2006/picture">
                <pic:pic>
                  <pic:nvPicPr>
                    <pic:cNvPr id="0" name="selected_attempt_resource_profile.png"/>
                    <pic:cNvPicPr/>
                  </pic:nvPicPr>
                  <pic:blipFill>
                    <a:blip r:embed="rId22"/>
                    <a:stretch>
                      <a:fillRect/>
                    </a:stretch>
                  </pic:blipFill>
                  <pic:spPr>
                    <a:xfrm>
                      <a:off x="0" y="0"/>
                      <a:ext cx="5868000" cy="2270243"/>
                    </a:xfrm>
                    <a:prstGeom prst="rect"/>
                  </pic:spPr>
                </pic:pic>
              </a:graphicData>
            </a:graphic>
          </wp:inline>
        </w:drawing>
      </w:r>
    </w:p>
    <w:p>
      <w:pPr>
        <w:pStyle w:val="Caption"/>
        <w:widowControl/>
      </w:pPr>
      <w:r>
        <w:t>图13 新增选取成功调用的资源剖面。点为中位数，线为四分位区间，并非95%置信区间；邻表token列为均值。失败调用与检索建库不计入，跨条件并发不可完全控制。</w:t>
      </w:r>
    </w:p>
    <w:p>
      <w:pPr>
        <w:pStyle w:val="Heading2"/>
      </w:pPr>
      <w:r>
        <w:t>6.6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保利发展分红题则体现角色提示的风险与评分分歧。G3的原文含“□适用 √不适用”到“报告期内未形成并实施”的扩展表述，人员1认为把预案项目不适用推成未实施，给事实0及不确定性1；人员2维持事实2及法规1。这里必须保留分歧，不能把人员1的说明写成全体一致的错误裁定。</w:t>
      </w:r>
    </w:p>
    <w:p>
      <w:pPr>
        <w:widowControl/>
      </w:pPr>
      <w:r>
        <w:t>美的审计委员会题三个条件均8分，两人四维全满，示范的是量表持平而非所有论断完全等价；恒瑞内控题G3小幅改善来自人员1引用项变化，事实项仍不满分，人员2总分不变。案例说明为什么总分、人员差异和原文支持需要一起阅读。</w:t>
      </w:r>
    </w:p>
    <w:p>
      <w:pPr>
        <w:pStyle w:val="Caption"/>
        <w:keepNext/>
        <w:widowControl/>
      </w:pPr>
      <w:r>
        <w:t>表19 事后真实案例 G1/G2/G3均分与G3正文逐字节选</w:t>
      </w:r>
    </w:p>
    <w:tbl>
      <w:tblPr>
        <w:tblStyle w:val="TableGrid"/>
        <w:tblW w:type="auto" w:w="0"/>
        <w:tblLayout w:type="fixed"/>
        <w:tblLook w:firstColumn="1" w:firstRow="1" w:lastColumn="0" w:lastRow="0" w:noHBand="0" w:noVBand="1" w:val="04A0"/>
      </w:tblPr>
      <w:tblGrid>
        <w:gridCol w:w="2098"/>
        <w:gridCol w:w="1077"/>
        <w:gridCol w:w="4365"/>
        <w:gridCol w:w="1984"/>
      </w:tblGrid>
      <w:tr>
        <w:trPr>
          <w:cantSplit/>
          <w:tblHeader/>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002230SZ-2024-AUDIT_COMMITTEE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依据已提供材料，科大讯飞2024年年报中可直接确认的核心信息来自年报PDF物理第75页的专门委员会表格[A3]：审计委员会成员列示为张本照、吴慈生、刘庆峰；该表“召开会议次数”列示</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600048SH-2024-DIVIDEND_DISCLOSURE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6.5/7.0/6.0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一、报告期实施情况与期后拟议方案的区分  （一）报告期实施情况 据保利发展2024年年度报告，"本报告期利润分配及资本公积金转增股本预案"项下勾选"□适用 √不适用"，即报告期内未</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000333SZ-2024-AUDIT_COMMITTEE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可确认的年报披露：美的集团《2024年度报告》封面显示报告年度为2024、披露时间为2025年03月[A4]。在年报PDF物理第80页（刊页-79-）“七、董事会下设专门委员会在报</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A3,A4,A5,R1,R2,R3,R4,R5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600276SH-2024-INTERNAL_CONTROL</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6.5/6.5/7.0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一、公司披露情况 1. 所提供的恒瑞医药2024年年报摘录中，PDF物理第41、42、47、48页仅显示年报名称和页码，未提供内部控制评价的组织、范围、基准日、评价依据或评价结论等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A1,A2,A3,A4,A5,R1,R2,R3</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降低事后复核时查找材料的成本，也使错误能定位到解析、检索、上下文组装或生成环节。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较早的第182号令、2023年修订文本和2018年版未作为相应历史版本独立纳入索引[25–27]。按清单日期检查冻结的法规top-10候选，G1合库检索的73条法规候选中有64条晚于报告年度，涉及42/60题；G2双路检索的300条中有156条晚于报告年度，涉及60/60题。日期字段只提示版本时间风险，不单独证明某条规范对具体事项不适用。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后续研究与部署含义</w:t>
      </w:r>
    </w:p>
    <w:p>
      <w:pPr>
        <w:widowControl/>
      </w:pPr>
      <w:r>
        <w:t>现有新增回放和统计诊断已经改善了对系统行为的解释，但尚未提供新的跨模型族、跨年度或多智能体语义质量结果。若进一步比较Agent，应固定总调用或token预算、上下文权限、最大工具步数和停止条件，并设置等调用数的单模型自检对照；否则额外费用与协作机制的作用仍混杂。仅将两个固定检索分支命名为智能体，不会形成这样的证据。</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本文的证据支持这种可审计设计的必要性，但尚不能量化其对真实决策风险或人员工作效率的全部影响。</w:t>
      </w:r>
    </w:p>
    <w:p>
      <w:pPr>
        <w:pStyle w:val="Heading1"/>
      </w:pPr>
      <w:r>
        <w:t>8 结论</w:t>
      </w:r>
    </w:p>
    <w:p>
      <w:pPr>
        <w:widowControl/>
      </w:pPr>
      <w:r>
        <w:t>本文完成年报与法规双源RAG的受控比较，并在原有双人评分基础上新增1800个预算配额回放、严格来源定位诊断、维度与主题分解、评分者尺度检查以及完整样本与缺失敏感性。结果支持当前任务中按来源组织证据的价值：G2相对G1的已观测配对质量分差为正，两类资料缺失都会降分。但相同上下文下来源角色提示没有稳定增益，完整配置未普遍优于简单基线。</w:t>
      </w:r>
    </w:p>
    <w:p>
      <w:pPr>
        <w:widowControl/>
      </w:pPr>
      <w:r>
        <w:t>新增分析同时揭示，来源类型更平衡并不意味着目标证据覆盖全面改善；法规参考位置的可审计定位仍是明显短板，且人员评分在法规尺度与满分维度上存在限制。这些发现将方法结论限定为探索性任务内结果。本文不据此宣称解决法规时点适用、获得跨模型族泛化或验证公司真实治理质量，也不将固定双路流程改称多智能体系统。</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pPr>
      <w:r>
        <w:t>[1] Lewis P, et al. Retrieval-Augmented Generation for Knowledge-Intensive NLP Tasks. NeurIPS 33, 2020: 9459–9474. https://arxiv.org/abs/2005.11401</w:t>
      </w:r>
    </w:p>
    <w:p>
      <w:pPr>
        <w:widowControl/>
      </w:pPr>
      <w:r>
        <w:t>[2] Chen Z, et al. FinQA: A Dataset of Numerical Reasoning over Financial Data. EMNLP, 2021: 3697–3711. https://doi.org/10.18653/v1/2021.emnlp-main.300</w:t>
      </w:r>
    </w:p>
    <w:p>
      <w:pPr>
        <w:widowControl/>
      </w:pPr>
      <w:r>
        <w:t>[3] Zhu F, et al. TAT-QA: A Question Answering Benchmark on a Hybrid of Tabular and Textual Content in Finance. ACL-IJCNLP, 2021: 3277–3287. https://doi.org/10.18653/v1/2021.acl-long.254</w:t>
      </w:r>
    </w:p>
    <w:p>
      <w:pPr>
        <w:widowControl/>
      </w:pPr>
      <w:r>
        <w:t>[4] Choe J, Kim J, Jung W. Hierarchical Retrieval with Evidence Curation for Open-Domain Financial Question Answering on Standardized Documents. Findings of ACL, 2025: 16663–16681. https://doi.org/10.18653/v1/2025.findings-acl.855</w:t>
      </w:r>
    </w:p>
    <w:p>
      <w:pPr>
        <w:widowControl/>
      </w:pPr>
      <w:r>
        <w:t>[5] Siddharth L, Luo J. Retrieval augmented generation using engineering design knowledge. Knowledge-Based Systems 303, 2024: 112410. https://doi.org/10.1016/j.knosys.2024.112410</w:t>
      </w:r>
    </w:p>
    <w:p>
      <w:pPr>
        <w:widowControl/>
      </w:pPr>
      <w:r>
        <w:t>[6] Yang W, Some L, Bain M, Kang B. A comprehensive survey on integrating large language models with knowledge-based methods. Knowledge-Based Systems 318, 2025: 113503. https://doi.org/10.1016/j.knosys.2025.113503</w:t>
      </w:r>
    </w:p>
    <w:p>
      <w:pPr>
        <w:widowControl/>
      </w:pPr>
      <w:r>
        <w:t>[7] Robertson S, Zaragoza H. The Probabilistic Relevance Framework: BM25 and Beyond. Foundations and Trends in Information Retrieval 3(4), 2009: 333–389. https://doi.org/10.1561/1500000019</w:t>
      </w:r>
    </w:p>
    <w:p>
      <w:pPr>
        <w:widowControl/>
      </w:pPr>
      <w:r>
        <w:t>[8] Karpukhin V, et al. Dense Passage Retrieval for Open-Domain Question Answering. EMNLP, 2020: 6769–6781. https://doi.org/10.18653/v1/2020.emnlp-main.550</w:t>
      </w:r>
    </w:p>
    <w:p>
      <w:pPr>
        <w:widowControl/>
      </w:pPr>
      <w:r>
        <w:t>[9] Zhang Y, et al. Qwen3 Embedding: Advancing Text Embedding and Reranking Through Foundation Models. arXiv, 2025. https://arxiv.org/abs/2506.05176</w:t>
      </w:r>
    </w:p>
    <w:p>
      <w:pPr>
        <w:widowControl/>
      </w:pPr>
      <w:r>
        <w:t>[10] Cormack G V, Clarke C L A, Buettcher S. Reciprocal rank fusion outperforms condorcet and individual rank learning methods. SIGIR, 2009: 758–759. https://doi.org/10.1145/1571941.1572114</w:t>
      </w:r>
    </w:p>
    <w:p>
      <w:pPr>
        <w:widowControl/>
      </w:pPr>
      <w:r>
        <w:t>[11] Alier M, García-Peñalvo F J, Casañ M J, Pereira J, Granados A. Closing the acronym gap in educational retrieval with ontology-guided augmentation. Information Sciences 740, 2026: 123181. https://doi.org/10.1016/j.ins.2026.123181</w:t>
      </w:r>
    </w:p>
    <w:p>
      <w:pPr>
        <w:widowControl/>
      </w:pPr>
      <w:r>
        <w:t>[12] Asai A, Wu Z, Wang Y, Sil A, Hajishirzi H. Self-RAG: Learning to Retrieve, Generate, and Critique through Self-Reflection. ICLR, 2024. https://arxiv.org/abs/2310.11511</w:t>
      </w:r>
    </w:p>
    <w:p>
      <w:pPr>
        <w:widowControl/>
      </w:pPr>
      <w:r>
        <w:t>[13] Yan S Q, Gu J C, Zhu Y, Ling Z H. Corrective Retrieval Augmented Generation. arXiv, 2024. https://arxiv.org/abs/2401.15884</w:t>
      </w:r>
    </w:p>
    <w:p>
      <w:pPr>
        <w:widowControl/>
      </w:pPr>
      <w:r>
        <w:t>[14] Jeong S, Baek J, Cho S, Hwang S J, Park J. Adaptive-RAG: Learning to Adapt Retrieval-Augmented Large Language Models through Question Complexity. NAACL, 2024: 7036–7050. https://doi.org/10.18653/v1/2024.naacl-long.389</w:t>
      </w:r>
    </w:p>
    <w:p>
      <w:pPr>
        <w:widowControl/>
      </w:pPr>
      <w:r>
        <w:t>[15] Han W, Xiao X, Li Y, Wang J, Pechenizkiy M, Fang M. Adaptive iterative retrieval for enhanced retrieval-augmented generation. Neurocomputing 666, 2026: 132272. https://doi.org/10.1016/j.neucom.2025.132272</w:t>
      </w:r>
    </w:p>
    <w:p>
      <w:pPr>
        <w:widowControl/>
      </w:pPr>
      <w:r>
        <w:t>[16] Yao S, et al. ReAct: Synergizing Reasoning and Acting in Language Models. ICLR, 2023. https://arxiv.org/abs/2210.03629</w:t>
      </w:r>
    </w:p>
    <w:p>
      <w:pPr>
        <w:widowControl/>
      </w:pPr>
      <w:r>
        <w:t>[17] Li B, Fan S, Zhu S, Wen L. CoLE: A collaborative legal expert prompting framework for large language models in law. Knowledge-Based Systems 311, 2025: 113052. https://doi.org/10.1016/j.knosys.2025.113052</w:t>
      </w:r>
    </w:p>
    <w:p>
      <w:pPr>
        <w:widowControl/>
      </w:pPr>
      <w:r>
        <w:t>[18] Wang H, et al. Learning to break: Knowledge-enhanced reasoning in multi-agent debate system. Neurocomputing 618, 2025: 129063. https://doi.org/10.1016/j.neucom.2024.129063</w:t>
      </w:r>
    </w:p>
    <w:p>
      <w:pPr>
        <w:widowControl/>
      </w:pPr>
      <w:r>
        <w:t>[19] Gao T, Yen H, Yu J, Chen D. Enabling Large Language Models to Generate Text with Citations. EMNLP, 2023: 6465–6488. https://doi.org/10.18653/v1/2023.emnlp-main.398</w:t>
      </w:r>
    </w:p>
    <w:p>
      <w:pPr>
        <w:widowControl/>
      </w:pPr>
      <w:r>
        <w:t>[20] Es S, James J, Espinosa Anke L, Schockaert S. RAGAs: Automated Evaluation of Retrieval Augmented Generation. EACL System Demonstrations, 2024: 150–158. https://doi.org/10.18653/v1/2024.eacl-demo.16</w:t>
      </w:r>
    </w:p>
    <w:p>
      <w:pPr>
        <w:widowControl/>
      </w:pPr>
      <w:r>
        <w:t>[21] Ru D, et al. RAGChecker: A Fine-grained Framework for Diagnosing Retrieval-Augmented Generation. NeurIPS Datasets and Benchmarks, 2024. https://arxiv.org/abs/2408.08067</w:t>
      </w:r>
    </w:p>
    <w:p>
      <w:pPr>
        <w:widowControl/>
      </w:pPr>
      <w:r>
        <w:t>[22] Pipitone N, Alami G H. LegalBench-RAG: A Benchmark for Retrieval-Augmented Generation in the Legal Domain. arXiv, 2024. https://arxiv.org/abs/2408.10343</w:t>
      </w:r>
    </w:p>
    <w:p>
      <w:pPr>
        <w:widowControl/>
      </w:pPr>
      <w:r>
        <w:t>[23] Liu N F, et al. Lost in the Middle: How Language Models Use Long Contexts. TACL 12, 2024: 157–173. https://doi.org/10.1162/tacl_a_00638</w:t>
      </w:r>
    </w:p>
    <w:p>
      <w:pPr>
        <w:widowControl/>
      </w:pPr>
      <w:r>
        <w:t>[24] Kimi. 模型配置. 服务别名说明；底层revision未核实，核对日期2026-10-20。 https://www.kimi.com/help/kimi-code/models</w:t>
      </w:r>
    </w:p>
    <w:p>
      <w:pPr>
        <w:widowControl/>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pPr>
      <w:r>
        <w:t>[26] 中国证监会. 第62号公告《关于修改〈上市公司章程指引〉的决定》（2023）及第6号公告《上市公司章程指引》（2025）。 https://www.csrc.gov.cn/csrc/c101954/c7449659/content.shtml; https://www.csrc.gov.cn/csrc/c101954/c7547791/content.shtml</w:t>
      </w:r>
    </w:p>
    <w:p>
      <w:pPr>
        <w:widowControl/>
      </w:pPr>
      <w:r>
        <w:t>[27] 中国证监会. 第29号公告《上市公司治理准则》（2018）及第18号公告《上市公司治理准则》（2025）。 https://www.csrc.gov.cn/csrc/c101864/c1024585/content.shtml; https://www.csrc.gov.cn/csrc/c101954/c7589726/content.shtml</w:t>
      </w:r>
    </w:p>
    <w:p>
      <w:pPr>
        <w:widowControl/>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pPr>
      <w:r>
        <w:t>[29] Zhu T, Liu M, Kurfali M. CFQA: A Chinese Financial Question Answering Benchmark from Corporate Annual Reports. Proceedings of the 7th Financial Narrative Processing Workshop, 2026: 28–38. https://doi.org/10.63317/4e6fhrncfrbu</w:t>
      </w:r>
    </w:p>
    <w:p>
      <w:pPr>
        <w:pStyle w:val="Heading1"/>
      </w:pPr>
      <w:r>
        <w:t>附录A 回放与审计复现说明</w:t>
      </w:r>
    </w:p>
    <w:p>
      <w:pPr>
        <w:widowControl/>
      </w:pPr>
      <w:r>
        <w:t>历史设置冻结文件为results/runs/paper_execution_freeze_windows_20261020_01/execution_freeze.json，SHA256为f0eecd3e4f7f129364311b2daa86d0e2ca6aad6af57ac269a14c210be3ffc2c7。原始主结果不因本次新增分析覆盖。新增回放、稀疏检索与评分诊断分别保存在本稿目录下retrieval、quality和audit中，运行脚本及输入哈希列入交付清单。</w:t>
      </w:r>
    </w:p>
    <w:p>
      <w:pPr>
        <w:widowControl/>
      </w:pPr>
      <w:r>
        <w:t>执行核验包括：400个计划源文件身份、386条评分输出的3088个原始字段、原配置120个上下文逐字一致、参考证据123条参考来源位置的索引可用性，以及图表数据与生成脚本。评分者在正文仅以人员1、人员2表示；案例保留分歧，不新增裁定。新增后验分析不回溯称为预注册。</w:t>
      </w:r>
    </w:p>
    <w:p>
      <w:pPr>
        <w:pStyle w:val="Heading1"/>
      </w:pPr>
      <w:r>
        <w:t>附录B 写作与投稿状态</w:t>
      </w:r>
    </w:p>
    <w:p>
      <w:pPr>
        <w:widowControl/>
      </w:pPr>
      <w:r>
        <w:t>本稿为中文研究长稿，含英文题名与摘要。作者、单位、基金、利益冲突、CRediT与AI辅助写作披露须按真实情况补齐。采用可编辑单栏版式，不复制期刊刊头；分区及录用取决于贡献与评审，篇幅和图表数量不能保证接收。</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