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来源删除和同系列服务版本比较保留为主文中的探索性对照；预算配额回放与重新执行BM25的检索定位诊断见补充材料S1–S2。这些分析不作为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去重排、已保存BM25生成、来源缺失及同系列服务版本等探索性对照保留在主文结果中；预算回放和新BM25定位粒度诊断置于补充材料S1–S2。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这些工作聚焦年报内部问答基准；本文研究的是公司披露与独立法规证据的联合评价，并在已有20家公司60题的双人评分上区分来源分路与提示约束。本文不将金融文档检索或年报QA基准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同系列服务版本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候选预算回放、重新执行的BM25检索以及定位粒度拆分见补充材料S1–S2；这些诊断用于解释运行边界，不与主实验评分合并。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[30]。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一个面向实际文件的系统而言，原文可回放和来源组织清晰有独立的工程价值。它们使材料可回放，便于事后复核时定位所用材料，并为区分解析、检索、上下文组装和生成错误提供记录。然而，这种工程价值不能抵消回答质量上的负结果；如果简化配置更好，应保留该现象，而不是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 xml:space="preserve">删除一类来源后的评分下降与材料互补性的解释一致，但该消融同时改变证据内容和上下文长度，不能单独识别来源互补效应。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 xml:space="preserve">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3(4), 2009: 333–389.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t>[30] 立讯精密工业股份有限公司. 2024年年度报告[EB/OL]. 巨潮资讯网, 2025-04-26. https://static.cninfo.com.cn/finalpage/2025-04-26/1223326862.PDF (访问日期: 2026-10-28).</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