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sources,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sources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the consolidated full text of the 2023 amendments to the Guidelines, and the 2018 Code of Corporate Governance were not independently added to the knowledge base; DOC343 is only the 2023 amendment decision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reference-source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