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年报与法规双源检索增强生成的受控评价与证据覆盖分析</w:t>
      </w:r>
    </w:p>
    <w:p>
      <w:pPr>
        <w:widowControl/>
      </w:pPr>
      <w:r>
        <w:t>Controlled Evaluation and Evidence-Coverage Analysis of Dual-source Retrieval-Augmented Generation over Annual Reports and Regulations</w:t>
      </w:r>
    </w:p>
    <w:p>
      <w:pPr>
        <w:pStyle w:val="Heading1"/>
      </w:pPr>
      <w:r>
        <w:t>摘要</w:t>
      </w:r>
    </w:p>
    <w:p>
      <w:pPr>
        <w:widowControl/>
      </w:pPr>
      <w:r>
        <w: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双路检索及相同证据下的来源角色提示，并分析来源缺失和简化检索等诊断条件。400个计划回答中，386个有效输出由两位评分者依据原文独立评分。双路检索相较合并检索的0至8分公司宏均分差为0.250，95%公司聚类bootstrap区间为[0.167, 0.333]；角色提示相较双路检索的增量为−0.008，区间跨0。双路检索使两类来源同现率由68.3%升至100%，但平均参考位置覆盖未提高，法规参考位置覆盖仍有限。收益主要出现在法规评分和审计委员会主题，引用及不确定性维度存在天花板。结果表明，来源供给、目标证据定位与回答质量是不同测量对象；当前发现仅适用于本研究样本、模型和评分协议。</w:t>
      </w:r>
    </w:p>
    <w:p>
      <w:pPr>
        <w:widowControl/>
      </w:pPr>
      <w:r>
        <w:t>关键词：检索增强生成；年度报告；法规证据；来源追溯；预算回放；人工评价</w:t>
      </w:r>
    </w:p>
    <w:p>
      <w:pPr>
        <w:pStyle w:val="Heading1"/>
      </w:pPr>
      <w:r>
        <w:t>Abstract</w:t>
      </w:r>
    </w:p>
    <w:p>
      <w:pPr>
        <w:widowControl/>
      </w:pPr>
      <w:r>
        <w:t>Listed-company evaluation requires both annual-report disclosures and relevant regulatory evidence. This study asks whether source-separated retrieval improves answer ratings and evidence supply over pooled retrieval in annual-report and regulation question answering. We build a traceable dual-source RAG pipeline that preserves document identity and source coordinates, and compare merged retrieval, dual retrieval, and source-role prompting with identical evidence on 60 questions from the 2024 annual reports of 20 companies. We also examine source-removal and simplified-retrieval conditions. Of 400 planned responses, 386 valid outputs were independently rated against the source documents by two reviewers. Dual retrieval exceeds merged retrieval by 0.250 points on a company-macro 0–8 scale (company-clustered 95% bootstrap interval: [0.167, 0.333]); source-role prompting adds −0.008 points over dual retrieval, with an interval spanning zero. Dual retrieval increases two-source presence from 68.3% to 100%, while mean reference-location coverage does not improve and regulatory reference coverage remains limited. Gains are concentrated in the regulation dimension and audit-committee questions; citation and uncertainty ratings show ceiling effects. The results distinguish source availability, target-evidence location, and answer quality, and are limited to the sampled companies, model configuration, and rating protocol.</w:t>
      </w:r>
    </w:p>
    <w:p>
      <w:pPr>
        <w:widowControl/>
      </w:pPr>
      <w:r>
        <w:t>Keywords: retrieval-augmented generation; annual reports; regulatory evidence; provenance; context-budget replay; human evaluation</w:t>
      </w:r>
    </w:p>
    <w:p>
      <w:pPr>
        <w:pStyle w:val="Heading1"/>
      </w:pPr>
      <w:r>
        <w:t>1 引言</w:t>
      </w:r>
    </w:p>
    <w:p>
      <w:pPr>
        <w:widowControl/>
      </w:pPr>
      <w:r>
        <w: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w:t>
      </w:r>
    </w:p>
    <w:p>
      <w:pPr>
        <w:widowControl/>
      </w:pPr>
      <w:r>
        <w: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w:t>
      </w:r>
    </w:p>
    <w:p>
      <w:pPr>
        <w:widowControl/>
      </w:pPr>
      <w:r>
        <w: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w:t>
      </w:r>
    </w:p>
    <w:p>
      <w:pPr>
        <w:widowControl/>
      </w:pPr>
      <w:r>
        <w:t>研究设置三个主要问题。RQ1考察按来源独立检索，相对于合并检索能否改善当前任务的回答质量；RQ2在逐字相同的检索上下文下，考察来源角色提示的增量作用；RQ3考察配置简化、材料缺失和同系列服务版本变化对观察结果的影响。为解释结果，本文新增预算与候选配额回放、检索位置代理、评分维度拆解、逐公司敏感性和运行开销分析。</w:t>
      </w:r>
    </w:p>
    <w:p>
      <w:pPr>
        <w:widowControl/>
      </w:pPr>
      <w:r>
        <w:t>本文的工作包括：实现保留文档身份、物理位置及实际提示记录的双源RAG原型；用受控比较拆分检索组织与生成提示的作用；在20家公司60题和两位人员评分上报告正向、零增益及反向差异；通过不改变历史回答的新回放实验检查来源供给机制。本文不把现成模型的组合宣称为新基础算法，也不以引用编号有效替代语义质量。</w:t>
      </w:r>
    </w:p>
    <w:p>
      <w:pPr>
        <w:widowControl/>
      </w:pPr>
      <w:r>
        <w:t>在已观测配对中，双路检索相对合并检索呈现正向差异，而同上下文的角色提示没有稳定额外收益；去重排和仅BM25的描述性高分提醒我们，增加检索复杂度并不自动改善专业问答。本文因此采用实证研究定位：说明何种证据组织有帮助、哪些组件未显示收益，以及现有测量还能支持多大范围的结论。该定位也决定了后续分析保留负结果和失败记录。</w:t>
      </w:r>
      <w:r>
        <w:t xml:space="preserve"> 系统流程见图1。</w:t>
      </w:r>
    </w:p>
    <w:p>
      <w:pPr>
        <w:keepNext/>
      </w:pPr>
      <w:r>
        <w:drawing>
          <wp:inline xmlns:a="http://schemas.openxmlformats.org/drawingml/2006/main" xmlns:pic="http://schemas.openxmlformats.org/drawingml/2006/picture">
            <wp:extent cx="5868000" cy="2726175"/>
            <wp:docPr id="1" name="Picture 1"/>
            <wp:cNvGraphicFramePr>
              <a:graphicFrameLocks noChangeAspect="1"/>
            </wp:cNvGraphicFramePr>
            <a:graphic>
              <a:graphicData uri="http://schemas.openxmlformats.org/drawingml/2006/picture">
                <pic:pic>
                  <pic:nvPicPr>
                    <pic:cNvPr id="0" name="fig01_schematic.png"/>
                    <pic:cNvPicPr/>
                  </pic:nvPicPr>
                  <pic:blipFill>
                    <a:blip r:embed="rId10"/>
                    <a:stretch>
                      <a:fillRect/>
                    </a:stretch>
                  </pic:blipFill>
                  <pic:spPr>
                    <a:xfrm>
                      <a:off x="0" y="0"/>
                      <a:ext cx="5868000" cy="2726175"/>
                    </a:xfrm>
                    <a:prstGeom prst="rect"/>
                  </pic:spPr>
                </pic:pic>
              </a:graphicData>
            </a:graphic>
          </wp:inline>
        </w:drawing>
      </w:r>
    </w:p>
    <w:p>
      <w:pPr>
        <w:pStyle w:val="Caption"/>
        <w:widowControl/>
      </w:pPr>
      <w:r>
        <w:t>图1 系统流程与可回放记录。年报和法规独立限定作用域，经检索、重排与整块预算组装形成实际上下文；来源坐标不等于语义支持。</w:t>
      </w:r>
    </w:p>
    <w:p>
      <w:pPr>
        <w:pStyle w:val="Heading1"/>
      </w:pPr>
      <w:r>
        <w:t>2 相关工作与研究定位</w:t>
      </w:r>
    </w:p>
    <w:p>
      <w:pPr>
        <w:pStyle w:val="Heading2"/>
      </w:pPr>
      <w:r>
        <w:t>2.1 金融文档问答与领域证据</w:t>
      </w:r>
    </w:p>
    <w:p>
      <w:pPr>
        <w:widowControl/>
      </w:pPr>
      <w:r>
        <w: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w:t>
      </w:r>
    </w:p>
    <w:p>
      <w:pPr>
        <w:widowControl/>
      </w:pPr>
      <w:r>
        <w: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w:t>
      </w:r>
    </w:p>
    <w:p>
      <w:pPr>
        <w:widowControl/>
      </w:pPr>
      <w:r>
        <w: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w:t>
      </w:r>
    </w:p>
    <w:p>
      <w:pPr>
        <w:pStyle w:val="Heading2"/>
      </w:pPr>
      <w:r>
        <w:t>2.2 稀疏稠密检索与领域增强</w:t>
      </w:r>
    </w:p>
    <w:p>
      <w:pPr>
        <w:widowControl/>
      </w:pPr>
      <w:r>
        <w: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w:t>
      </w:r>
    </w:p>
    <w:p>
      <w:pPr>
        <w:widowControl/>
      </w:pPr>
      <w:r>
        <w: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w:t>
      </w:r>
    </w:p>
    <w:p>
      <w:pPr>
        <w:pStyle w:val="Heading2"/>
      </w:pPr>
      <w:r>
        <w:t>2.3 迭代检索与智能体协作</w:t>
      </w:r>
    </w:p>
    <w:p>
      <w:pPr>
        <w:widowControl/>
      </w:pPr>
      <w:r>
        <w: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w:t>
      </w:r>
    </w:p>
    <w:p>
      <w:pPr>
        <w:widowControl/>
      </w:pPr>
      <w:r>
        <w: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w:t>
      </w:r>
    </w:p>
    <w:p>
      <w:pPr>
        <w:pStyle w:val="Heading2"/>
      </w:pPr>
      <w:r>
        <w:t>2.4 引用评价与专业任务有效性</w:t>
      </w:r>
    </w:p>
    <w:p>
      <w:pPr>
        <w:widowControl/>
      </w:pPr>
      <w:r>
        <w: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w:t>
      </w:r>
    </w:p>
    <w:p>
      <w:pPr>
        <w:widowControl/>
      </w:pPr>
      <w:r>
        <w: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w:t>
      </w:r>
      <w:r>
        <w:t xml:space="preserve"> 代表性研究与本研究的差异归纳见表1。</w:t>
      </w:r>
    </w:p>
    <w:p>
      <w:pPr>
        <w:pStyle w:val="Caption"/>
        <w:keepNext/>
        <w:widowControl/>
      </w:pPr>
      <w:r>
        <w:t>表1 代表性研究与本研究的区别</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研究</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主要处理对象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本文采用或比较的边界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FinQA / TAT-QA [2,3]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金融报告数值与混合内容问答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任务相关；本研究聚焦披露与规范联合依据</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ARQA / CFQA [28,29]</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年报表格—文本QA基准与答案证据评估</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聚焦年报内部问答；本文补充法规来源角色与来源组织对照</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HiREC [4]</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金融文件层级检索与证据整理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不将金融检索本身宣称为新方法</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领域知识RAG [5,6,11]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领域知识表示与检索增强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借鉴组件控制；不复制本体或知识图谱</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Self-RAG / CRAG [12,13]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自反思或纠正检索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未忠实复现；不填入性能对照表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Adaptive-RAG / AIR-RAG [14,15]</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自适应与迭代检索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作为后续强基线，当前仅固定检索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CoLE / MADKE [17,18]</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法律专家提示与知识增强辩论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当前系统不称为多智能体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ALCE / RAGAs / RAGChecker [19–21]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引用与细粒度质量评价</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区分结构、语义和实际人员评分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LegalBench-RAG [22]</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法律片段证据定位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本研究页级标签不冒称穷尽片段qrels</w:t>
            </w:r>
          </w:p>
        </w:tc>
      </w:tr>
    </w:tbl>
    <w:p>
      <w:pPr>
        <w:pStyle w:val="Heading1"/>
      </w:pPr>
      <w:r>
        <w:t>3 双源检索与可追溯生成方法</w:t>
      </w:r>
    </w:p>
    <w:p>
      <w:pPr>
        <w:pStyle w:val="Heading2"/>
      </w:pPr>
      <w:r>
        <w:t>3.1 输入输出与研究对象</w:t>
      </w:r>
    </w:p>
    <w:p>
      <w:pPr>
        <w:widowControl/>
      </w:pPr>
      <w:r>
        <w: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w:t>
      </w:r>
      <w:r>
        <w:t xml:space="preserve"> 符号及其含义见表2。</w:t>
      </w:r>
    </w:p>
    <w:p>
      <w:pPr>
        <w:widowControl/>
      </w:pPr>
      <w:r>
        <w: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w:t>
      </w:r>
    </w:p>
    <w:p>
      <w:pPr>
        <w:pStyle w:val="Caption"/>
        <w:keepNext/>
        <w:widowControl/>
      </w:pPr>
      <w:r>
        <w:t>表2 符号与含义</w:t>
      </w:r>
    </w:p>
    <w:tbl>
      <w:tblPr>
        <w:tblStyle w:val="TableGrid"/>
        <w:tblW w:type="auto" w:w="0"/>
        <w:tblLayout w:type="fixed"/>
        <w:tblLook w:firstColumn="1" w:firstRow="1" w:lastColumn="0" w:lastRow="0" w:noHBand="0" w:noVBand="1" w:val="04A0"/>
      </w:tblPr>
      <w:tblGrid>
        <w:gridCol w:w="1984"/>
        <w:gridCol w:w="7540"/>
      </w:tblGrid>
      <w:tr>
        <w:trPr>
          <w:tblHeader w:val="1"/>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符号</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定义</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x=(c,y,q)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公司、报告年度和评价问题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D_A(c,y), D_R(q)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年报和法规的合格检索作用域</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H_A,H_R,H_M</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两类独立候选与合并候选序列</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K_A,K_R,K</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来源候选配额及总上限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B,T(E)</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上下文参考token上限及计数</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E_M,E_D</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合并检索与双路检索实际上下文</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C,L</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实质论断集合及论断—证据关联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Q_i,Δ_c</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回答探索性质量总分及公司内配对差</w:t>
            </w:r>
          </w:p>
        </w:tc>
      </w:tr>
    </w:tbl>
    <w:p>
      <w:pPr>
        <w:pStyle w:val="Heading2"/>
      </w:pPr>
      <w:r>
        <w:t>3.2 文档身份与位置表示</w:t>
      </w:r>
    </w:p>
    <w:p>
      <w:pPr>
        <w:widowControl/>
      </w:pPr>
      <w:r>
        <w: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w:t>
      </w:r>
    </w:p>
    <w:p>
      <w:pPr>
        <w:widowControl/>
      </w:pPr>
      <w:r>
        <w: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w:t>
      </w:r>
    </w:p>
    <w:p>
      <w:pPr>
        <w:widowControl/>
      </w:pPr>
      <w:r>
        <w: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w:t>
      </w:r>
      <w:r>
        <w:t xml:space="preserve"> 来源记录字段及其核验层次见表3。</w:t>
      </w:r>
    </w:p>
    <w:p>
      <w:pPr>
        <w:pStyle w:val="Caption"/>
        <w:keepNext/>
        <w:widowControl/>
      </w:pPr>
      <w:r>
        <w:t>表3 来源记录与各检查层次</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记录或检查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保存内容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能够说明的范围</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文件身份</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来源、版本、SHA256</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文件字节与声明身份的关联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PDF位置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物理页、文本帧哈希、字符区间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片段可以回到实际页面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文本法规</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文件哈希、条号与字符区间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不伪造PDF页码</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实际片段ID、prompt/context哈希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实际提供给模型的材料</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引用ID校验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引用是否来自提供的ID集合</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仅结构可解析</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人员原文评分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事实、法规、引用和不确定性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探索性质量判断</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时点适用</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事项日期、有效期间及版本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需独立证据；本轮未全面验证</w:t>
            </w:r>
          </w:p>
        </w:tc>
      </w:tr>
    </w:tbl>
    <w:p>
      <w:pPr>
        <w:pStyle w:val="Heading2"/>
      </w:pPr>
      <w:r>
        <w:rPr>
          <w:rFonts w:ascii="Microsoft YaHei" w:hAnsi="Microsoft YaHei" w:eastAsia="Microsoft YaHei"/>
        </w:rPr>
        <w:t>3.3 双作用域检索与固定融合</w:t>
      </w:r>
    </w:p>
    <w:p>
      <w:pPr>
        <w:widowControl/>
      </w:pPr>
      <w:r>
        <w: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w:t>
      </w:r>
    </w:p>
    <w:p>
      <w:pPr>
        <w:widowControl/>
      </w:pPr>
      <w:r>
        <w: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w:t>
      </w:r>
    </w:p>
    <w:p>
      <w:pPr>
        <w:widowControl/>
      </w:pPr>
      <w:r>
        <w: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w:t>
      </w:r>
    </w:p>
    <w:p>
      <w:pPr>
        <w:pStyle w:val="Heading2"/>
      </w:pPr>
      <w:r>
        <w:t>3.4 上下文组装与可比较性</w:t>
      </w:r>
    </w:p>
    <w:p>
      <w:pPr>
        <w:widowControl/>
      </w:pPr>
      <w:r>
        <w: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w:t>
      </w:r>
    </w:p>
    <w:p>
      <w:pPr>
        <w:widowControl/>
      </w:pPr>
      <w:r>
        <w: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w:t>
      </w:r>
    </w:p>
    <w:p>
      <w:pPr>
        <w:widowControl/>
      </w:pPr>
      <w:r>
        <w: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w:t>
      </w:r>
    </w:p>
    <w:p>
      <w:pPr>
        <w:widowControl/>
      </w:pPr>
      <w:r>
        <w:t>G1: E_M=Pack_B(Top_K(D_A(c,y)∪D_R(q)));   G2: E_D=Pack_B(Merge(Top_KA(D_A), Top_KR(D_R)))。</w:t>
      </w:r>
    </w:p>
    <w:p>
      <w:pPr>
        <w:widowControl/>
      </w:pPr>
      <w:r>
        <w:t>G3: E_role=E_D；a_generic=LLM(P_generic,E_D)，a_role=LLM(P_role,E_D)。</w:t>
      </w:r>
    </w:p>
    <w:p>
      <w:pPr>
        <w:widowControl/>
      </w:pPr>
      <w:r>
        <w:t>上述等式描述实现中的条件控制关系，不是额外训练目标。候选排序、片段长度和访问顺序共同决定最终E，因而即使K_A=K_R，也须检查Pack后的来源数量。</w:t>
      </w:r>
    </w:p>
    <w:p>
      <w:pPr>
        <w:pStyle w:val="Heading2"/>
      </w:pPr>
      <w:r>
        <w:t>3.5 引用约束与来源角色</w:t>
      </w:r>
    </w:p>
    <w:p>
      <w:pPr>
        <w:widowControl/>
      </w:pPr>
      <w:r>
        <w: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w:t>
      </w:r>
    </w:p>
    <w:p>
      <w:pPr>
        <w:widowControl/>
      </w:pPr>
      <w:r>
        <w: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w:t>
      </w:r>
    </w:p>
    <w:p>
      <w:pPr>
        <w:widowControl/>
      </w:pPr>
      <w:r>
        <w: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w:t>
      </w:r>
      <w:r>
        <w:t xml:space="preserve"> 论断与来源关系示意见图2。</w:t>
      </w:r>
    </w:p>
    <w:p>
      <w:pPr>
        <w:keepNext/>
      </w:pPr>
      <w:r>
        <w:drawing>
          <wp:inline xmlns:a="http://schemas.openxmlformats.org/drawingml/2006/main" xmlns:pic="http://schemas.openxmlformats.org/drawingml/2006/picture">
            <wp:extent cx="5868000" cy="2726175"/>
            <wp:docPr id="2" name="Picture 2"/>
            <wp:cNvGraphicFramePr>
              <a:graphicFrameLocks noChangeAspect="1"/>
            </wp:cNvGraphicFramePr>
            <a:graphic>
              <a:graphicData uri="http://schemas.openxmlformats.org/drawingml/2006/picture">
                <pic:pic>
                  <pic:nvPicPr>
                    <pic:cNvPr id="0" name="fig03_schematic.png"/>
                    <pic:cNvPicPr/>
                  </pic:nvPicPr>
                  <pic:blipFill>
                    <a:blip r:embed="rId11"/>
                    <a:stretch>
                      <a:fillRect/>
                    </a:stretch>
                  </pic:blipFill>
                  <pic:spPr>
                    <a:xfrm>
                      <a:off x="0" y="0"/>
                      <a:ext cx="5868000" cy="2726175"/>
                    </a:xfrm>
                    <a:prstGeom prst="rect"/>
                  </pic:spPr>
                </pic:pic>
              </a:graphicData>
            </a:graphic>
          </wp:inline>
        </w:drawing>
      </w:r>
    </w:p>
    <w:p>
      <w:pPr>
        <w:pStyle w:val="Caption"/>
        <w:widowControl/>
      </w:pPr>
      <w:r>
        <w:t>图2 论断—来源关系与核验层次。比较性结论需要相应事实与规范，但编号连线本身不证明语义支持或时点适用。</w:t>
      </w:r>
    </w:p>
    <w:p>
      <w:pPr>
        <w:pStyle w:val="Heading2"/>
      </w:pPr>
      <w:r>
        <w:t>3.6 复杂度与运行记录</w:t>
      </w:r>
    </w:p>
    <w:p>
      <w:pPr>
        <w:widowControl/>
      </w:pPr>
      <w:r>
        <w: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w:t>
      </w:r>
    </w:p>
    <w:p>
      <w:pPr>
        <w:widowControl/>
      </w:pPr>
      <w:r>
        <w: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w:t>
      </w:r>
    </w:p>
    <w:p>
      <w:pPr>
        <w:pStyle w:val="Heading1"/>
      </w:pPr>
      <w:r>
        <w:t>4 数据与实验协议</w:t>
      </w:r>
    </w:p>
    <w:p>
      <w:pPr>
        <w:pStyle w:val="Heading2"/>
      </w:pPr>
      <w:r>
        <w:t>4.1 文档库与问题集合</w:t>
      </w:r>
    </w:p>
    <w:p>
      <w:pPr>
        <w:widowControl/>
      </w:pPr>
      <w:r>
        <w: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w:t>
      </w:r>
    </w:p>
    <w:p>
      <w:pPr>
        <w:widowControl/>
      </w:pPr>
      <w:r>
        <w: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w:t>
      </w:r>
      <w:r>
        <w:t xml:space="preserve"> 语料范围和标注构成汇总见表4。</w:t>
      </w:r>
    </w:p>
    <w:p>
      <w:pPr>
        <w:pStyle w:val="Caption"/>
        <w:keepNext/>
        <w:widowControl/>
      </w:pPr>
      <w:r>
        <w:t>表4 语料与标注范围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解释</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合格年报库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39份 / 13038片段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39个来源哈希，全部有物理页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合格法规库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87份 / 5994片段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87个来源哈希；289个片段有物理页字段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质量问题集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20公司 / 60题</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2024年；3主题各20题</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参考要点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180</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问题级评分依据，非穷尽公司事实库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参考证据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123条 / 256次关联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t>122条PDF参考与1条TXT参考的定位均在索引中存在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独立评分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386回答 × 2人 × 4维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共3088个0/1/2数值；没有U</w:t>
            </w:r>
          </w:p>
        </w:tc>
      </w:tr>
    </w:tbl>
    <w:p>
      <w:pPr>
        <w:pStyle w:val="Heading2"/>
      </w:pPr>
      <w:r>
        <w:t>4.2 比较条件与变量隔离</w:t>
      </w:r>
    </w:p>
    <w:p>
      <w:pPr>
        <w:widowControl/>
      </w:pPr>
      <w:r>
        <w: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w:t>
      </w:r>
    </w:p>
    <w:p>
      <w:pPr>
        <w:widowControl/>
      </w:pPr>
      <w:r>
        <w: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w:t>
      </w:r>
    </w:p>
    <w:p>
      <w:pPr>
        <w:widowControl/>
      </w:pPr>
      <w:r>
        <w:t>同系列服务版本比较在同一20题上各执行三条件，共60个单元。kimi-for-coding别名在供应商说明中对应K2.8 Preview [24]，与主模型k3的底层checkpoint均未独立验证。两者未显式统一思考预算，默认值未核实，比较属于服务版本敏感性，不是严格等计算预算的权重比较，更不是跨厂商模型族泛化。</w:t>
      </w:r>
      <w:r>
        <w:t xml:space="preserve"> 实际比较条件与分析范围见表5，变量隔离示意见图3。</w:t>
      </w:r>
    </w:p>
    <w:p>
      <w:pPr>
        <w:pStyle w:val="Caption"/>
        <w:keepNext/>
        <w:widowControl/>
      </w:pPr>
      <w:r>
        <w:t>表5 实际比较与新增分析的范围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分析</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计划规模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主要控制与边界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主对照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60×3=180回答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G1/G2组织差异；G2/G3同上下文</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检索消融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60×2=120回答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去重排、仅BM25；非所有配置全面因子设计</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来源缺失</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删来源不重检索；信息与长度同时变化</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服务版本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20×3=60回答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t>同系列别名；思考预算未显式统一</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新预算回放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60×2×3×5=1800上下文</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固定候选排序；非1800条新生成回答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新统计诊断</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386输出 / 400单元清单</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复算既有评分，不新增人工标签</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新稀疏检索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60题×2策略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完整合格作用域CPU BM25；与缓存神经候选分开解释</w:t>
            </w:r>
          </w:p>
        </w:tc>
      </w:tr>
    </w:tbl>
    <w:p>
      <w:pPr>
        <w:keepNext/>
      </w:pPr>
      <w:r>
        <w:drawing>
          <wp:inline xmlns:a="http://schemas.openxmlformats.org/drawingml/2006/main" xmlns:pic="http://schemas.openxmlformats.org/drawingml/2006/picture">
            <wp:extent cx="5868000" cy="2726175"/>
            <wp:docPr id="3" name="Picture 3"/>
            <wp:cNvGraphicFramePr>
              <a:graphicFrameLocks noChangeAspect="1"/>
            </wp:cNvGraphicFramePr>
            <a:graphic>
              <a:graphicData uri="http://schemas.openxmlformats.org/drawingml/2006/picture">
                <pic:pic>
                  <pic:nvPicPr>
                    <pic:cNvPr id="0" name="fig02_schematic.png"/>
                    <pic:cNvPicPr/>
                  </pic:nvPicPr>
                  <pic:blipFill>
                    <a:blip r:embed="rId12"/>
                    <a:stretch>
                      <a:fillRect/>
                    </a:stretch>
                  </pic:blipFill>
                  <pic:spPr>
                    <a:xfrm>
                      <a:off x="0" y="0"/>
                      <a:ext cx="5868000" cy="2726175"/>
                    </a:xfrm>
                    <a:prstGeom prst="rect"/>
                  </pic:spPr>
                </pic:pic>
              </a:graphicData>
            </a:graphic>
          </wp:inline>
        </w:drawing>
      </w:r>
    </w:p>
    <w:p>
      <w:pPr>
        <w:pStyle w:val="Caption"/>
        <w:widowControl/>
      </w:pPr>
      <w:r>
        <w:t>图3 变量隔离与扩展实验设计。回放改变候选配额和组装预算，不改变历史评分输出。</w:t>
      </w:r>
    </w:p>
    <w:p>
      <w:pPr>
        <w:pStyle w:val="Heading2"/>
      </w:pPr>
      <w:r>
        <w:t>4.3 实现参数与执行失败</w:t>
      </w:r>
    </w:p>
    <w:p>
      <w:pPr>
        <w:widowControl/>
      </w:pPr>
      <w:r>
        <w: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w:t>
      </w:r>
    </w:p>
    <w:p>
      <w:pPr>
        <w:widowControl/>
      </w:pPr>
      <w:r>
        <w:t>主生成temperature为1，最大输出16384 tokens，请求超时600秒，SDK自动重试为0，每个题目—条件运行一次。调度随机种子42没有发送为生成随机种子，不能据此宣称可精确复现采样。准备阶段因供应商参数限制或截断发生的请求设置修订及错误回执均保存。主对照首轮147/180有效，一次失败恢复后178/180；不以恢复视图覆盖首轮。</w:t>
      </w:r>
    </w:p>
    <w:p>
      <w:pPr>
        <w:pStyle w:val="Heading2"/>
      </w:pPr>
      <w:r>
        <w:t>4.4 双人评分与可测量内容</w:t>
      </w:r>
    </w:p>
    <w:p>
      <w:pPr>
        <w:widowControl/>
      </w:pPr>
      <w:r>
        <w:t>两位人员分别对实际回答核对原文，评分包含公司事实、法规依据、引用支持和不确定性处理，每维0、1、2或U。只有两人四维均为数值时计算均分总量Q_i=(1/2)∑_r∑_j s_irj，范围0至8。本轮没有U，失败与未运行不填质量0分。均分是分析指标，不是分歧裁定或一致金标。</w:t>
      </w:r>
    </w:p>
    <w:p>
      <w:pPr>
        <w:widowControl/>
      </w:pPr>
      <w:r>
        <w: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w:t>
      </w:r>
    </w:p>
    <w:p>
      <w:pPr>
        <w:widowControl/>
      </w:pPr>
      <w:r>
        <w: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w:t>
      </w:r>
    </w:p>
    <w:p>
      <w:pPr>
        <w:pStyle w:val="Heading2"/>
      </w:pPr>
      <w:r>
        <w:t>4.5 配对估计与缺失敏感性</w:t>
      </w:r>
    </w:p>
    <w:p>
      <w:pPr>
        <w:widowControl/>
      </w:pPr>
      <w:r>
        <w:t>对相同问题匹配两个条件，先计算每家公司内已观测配对差值，再对公司等权平均。原主结果采用2000次公司聚类bootstrap、种子42；新增维度和主题诊断采用10000次、种子20261023。区间均为探索性点对点百分位区间，不进行多重比较校正。不同分析的抽样次数明确区分，保留原主区间便于历史对照。</w:t>
      </w:r>
    </w:p>
    <w:p>
      <w:pPr>
        <w:widowControl/>
      </w:pPr>
      <w:r>
        <w: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w:t>
      </w:r>
    </w:p>
    <w:p>
      <w:pPr>
        <w:widowControl/>
      </w:pPr>
      <w:r>
        <w: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w:t>
      </w:r>
    </w:p>
    <w:p>
      <w:pPr>
        <w:pStyle w:val="Heading2"/>
      </w:pPr>
      <w:r>
        <w:t>4.6 新回放与检索诊断指标</w:t>
      </w:r>
    </w:p>
    <w:p>
      <w:pPr>
        <w:widowControl/>
      </w:pPr>
      <w:r>
        <w:t>新增回放使用保存的最终候选排序，不调用生成器、不重新编码文本。候选总数取2、6、10，双路对应每侧1、3、5；预算取1000、2000、4000、6000、8000参考tokens，共1800个上下文。所有条件均通过同一个完整片段组装器和冻结参考分词器，并验证默认10候选、6000上限的120个原上下文逐字复现。</w:t>
      </w:r>
    </w:p>
    <w:p>
      <w:pPr>
        <w:widowControl/>
      </w:pPr>
      <w:r>
        <w:t>定位指标按参考来源的真实形式计算：122条PDF参考使用文件SHA256与物理页序，1条LAW-DOC004-TEXT参考没有物理页，按整个TXT来源哈希定位，并在20个内控问题中复用。分别计算每题两类来源的参考位置覆盖，再取角色均值。双角色出现率只检查A/R片段同时存在；双参考角色可用率要求两类各至少命中一条参考位置。这些均是非语义代理。法规汇总混合了页级和整来源粒度，本文另报告PDF-only与TXT-only结果，避免把粗粒度命中解释成更精准的法规检索。</w:t>
      </w:r>
    </w:p>
    <w:p>
      <w:pPr>
        <w:widowControl/>
      </w:pPr>
      <w:r>
        <w:t>来源哈希严格相等不会自动合并同一法规的文本版本、PDF版本或其他等价支持材料。因此，低位置覆盖既可能意味着目标原文未检索，也可能未计入替代来源。新增12字符连续片段覆盖仅作词面补充，同样不能确认语义等价。解释结果时必须同时保留严格命中的可审计性和非穷尽参考带来的漏计可能。</w:t>
      </w:r>
    </w:p>
    <w:p>
      <w:pPr>
        <w:pStyle w:val="Heading1"/>
      </w:pPr>
      <w:r>
        <w:t>5 主实验与评分诊断</w:t>
      </w:r>
    </w:p>
    <w:p>
      <w:pPr>
        <w:pStyle w:val="Heading2"/>
      </w:pPr>
      <w:r>
        <w:t>5.1 运行覆盖与质量分布</w:t>
      </w:r>
    </w:p>
    <w:p>
      <w:pPr>
        <w:widowControl/>
      </w:pPr>
      <w:r>
        <w:t>400个计划回答中，主对照恢复视图178个、消融109个、来源缺失40个、第二版本59个，共386个结构有效输出。最终14个单元无有效回答。有效表示返回且通过结构检查，不表示事实、引用或适用性已经正确。失败包括服务端504、JSON解析及连接问题，消融全部120条均已派发返回。</w:t>
      </w:r>
      <w:r>
        <w:t xml:space="preserve"> 计划回答、有效输出与评分覆盖见表6。</w:t>
      </w:r>
    </w:p>
    <w:p>
      <w:pPr>
        <w:pStyle w:val="Caption"/>
        <w:keepNext/>
        <w:widowControl/>
      </w:pPr>
      <w:r>
        <w:t>表6 可用输出与双人公司宏均分</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可用/计划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双人均分</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人员2</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7.292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7.533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59/60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7.817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7.283</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59/60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7.308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55/60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7.812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7.858</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7.767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annual</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6.675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6.350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regulation</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6.925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7.150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7.579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7.789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7.350</w:t>
            </w:r>
          </w:p>
        </w:tc>
      </w:tr>
    </w:tbl>
    <w:p>
      <w:pPr>
        <w:widowControl/>
      </w:pPr>
      <w:r>
        <w: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w:t>
      </w:r>
    </w:p>
    <w:p>
      <w:pPr>
        <w:pStyle w:val="Heading2"/>
      </w:pPr>
      <w:r>
        <w:rPr>
          <w:rFonts w:ascii="Microsoft YaHei" w:hAnsi="Microsoft YaHei" w:eastAsia="Microsoft YaHei"/>
        </w:rPr>
        <w:t>5.2 双路检索与角色提示的增量</w:t>
      </w:r>
    </w:p>
    <w:p>
      <w:pPr>
        <w:widowControl/>
      </w:pPr>
      <w:r>
        <w:t>主对照G2−G1的公司宏差值为0.250，原95%区间[0.167,0.333]；两位人员分别为0.267和0.233，方向一致。G3−G1为0.267，但G3−G2为−0.008，区间[−0.050,0.025]，说明额外的来源角色措辞并未产生稳定增量。G3与G2在58个已知配对中只有1胜、56平、1负，粗量表下多数题目无法区分。</w:t>
      </w:r>
      <w:r>
        <w:t xml:space="preserve"> 主比较及人员敏感性结果见表7和图4。</w:t>
      </w:r>
    </w:p>
    <w:p>
      <w:pPr>
        <w:pStyle w:val="Caption"/>
        <w:keepNext/>
        <w:widowControl/>
      </w:pPr>
      <w:r>
        <w:t>表7 主比较及原分析的点对点95%公司聚类区间</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原95%区间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0.250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[0.167, 0.333]</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[-0.050, 0.025]</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0.267</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[0.183, 0.350]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54/60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[-0.404, -0.204]</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[-0.404, -0.246]</w:t>
            </w:r>
          </w:p>
        </w:tc>
      </w:tr>
    </w:tbl>
    <w:p>
      <w:pPr>
        <w:keepNext/>
      </w:pPr>
      <w:r>
        <w:drawing>
          <wp:inline xmlns:a="http://schemas.openxmlformats.org/drawingml/2006/main" xmlns:pic="http://schemas.openxmlformats.org/drawingml/2006/picture">
            <wp:extent cx="5868000" cy="3520800"/>
            <wp:docPr id="4" name="Picture 4"/>
            <wp:cNvGraphicFramePr>
              <a:graphicFrameLocks noChangeAspect="1"/>
            </wp:cNvGraphicFramePr>
            <a:graphic>
              <a:graphicData uri="http://schemas.openxmlformats.org/drawingml/2006/picture">
                <pic:pic>
                  <pic:nvPicPr>
                    <pic:cNvPr id="0" name="original_paired_effects.png"/>
                    <pic:cNvPicPr/>
                  </pic:nvPicPr>
                  <pic:blipFill>
                    <a:blip r:embed="rId13"/>
                    <a:stretch>
                      <a:fillRect/>
                    </a:stretch>
                  </pic:blipFill>
                  <pic:spPr>
                    <a:xfrm>
                      <a:off x="0" y="0"/>
                      <a:ext cx="5868000" cy="3520800"/>
                    </a:xfrm>
                    <a:prstGeom prst="rect"/>
                  </pic:spPr>
                </pic:pic>
              </a:graphicData>
            </a:graphic>
          </wp:inline>
        </w:drawing>
      </w:r>
    </w:p>
    <w:p>
      <w:pPr>
        <w:pStyle w:val="Caption"/>
        <w:widowControl/>
      </w:pPr>
      <w:r>
        <w:t>图4 原主结果与人员敏感性。保留历史2000次bootstrap区间，新增诊断不覆盖原记录。</w:t>
      </w:r>
    </w:p>
    <w:p>
      <w:pPr>
        <w:pStyle w:val="Heading2"/>
      </w:pPr>
      <w:r>
        <w:t>5.3 新增逐维度分析</w:t>
      </w:r>
    </w:p>
    <w:p>
      <w:pPr>
        <w:widowControl/>
      </w:pPr>
      <w:r>
        <w:t>总分变化主要来自哪些维度，决定了结果应如何表述。新增分解显示，G2−G1在公司事实维度为−0.017、法规维度为+0.267，引用和不确定性均为0。因而总分正差不能改写为“各方面质量普遍提高”，更不能把法规评分提升解释为自动判对法规时点。</w:t>
      </w:r>
    </w:p>
    <w:p>
      <w:pPr>
        <w:widowControl/>
      </w:pPr>
      <w:r>
        <w:t>G3−G2的总分接近0，也不意味着所有题目上行为相同：提示可以增加或改变模型的论断与引用结构，却未必改变人员的粗粒度评分。新增分析将这种表述变化与语义质量分开，避免把更多引用或更长回答当作更准确。</w:t>
      </w:r>
      <w:r>
        <w:t xml:space="preserve"> 逐维度配对效应见表8和图5。</w:t>
      </w:r>
    </w:p>
    <w:p>
      <w:pPr>
        <w:pStyle w:val="Caption"/>
        <w:keepNext/>
        <w:widowControl/>
      </w:pPr>
      <w:r>
        <w:t>表8 新增双人均分的维度配对效应 每维0至2 总分0至8</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法规Δ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不确定性Δ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总分Δ</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0.250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54</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-0.300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G3-BM25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0.050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-0.362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-0.325</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NoAnnual-G3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-0.925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-0.900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NoRegulation-G3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-0.675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-0.650</w:t>
            </w:r>
          </w:p>
        </w:tc>
      </w:tr>
    </w:tbl>
    <w:p>
      <w:pPr>
        <w:keepNext/>
      </w:pPr>
      <w:r>
        <w:drawing>
          <wp:inline xmlns:a="http://schemas.openxmlformats.org/drawingml/2006/main" xmlns:pic="http://schemas.openxmlformats.org/drawingml/2006/picture">
            <wp:extent cx="5868000" cy="2302136"/>
            <wp:docPr id="5" name="Picture 5"/>
            <wp:cNvGraphicFramePr>
              <a:graphicFrameLocks noChangeAspect="1"/>
            </wp:cNvGraphicFramePr>
            <a:graphic>
              <a:graphicData uri="http://schemas.openxmlformats.org/drawingml/2006/picture">
                <pic:pic>
                  <pic:nvPicPr>
                    <pic:cNvPr id="0" name="quality_dimension_effects.png"/>
                    <pic:cNvPicPr/>
                  </pic:nvPicPr>
                  <pic:blipFill>
                    <a:blip r:embed="rId14"/>
                    <a:stretch>
                      <a:fillRect/>
                    </a:stretch>
                  </pic:blipFill>
                  <pic:spPr>
                    <a:xfrm>
                      <a:off x="0" y="0"/>
                      <a:ext cx="5868000" cy="2302136"/>
                    </a:xfrm>
                    <a:prstGeom prst="rect"/>
                  </pic:spPr>
                </pic:pic>
              </a:graphicData>
            </a:graphic>
          </wp:inline>
        </w:drawing>
      </w:r>
    </w:p>
    <w:p>
      <w:pPr>
        <w:pStyle w:val="Caption"/>
        <w:widowControl/>
      </w:pPr>
      <w:r>
        <w:t>图5 新增维度效应。10000次公司聚类bootstrap；四维度均使用0至2量尺，误差线为点对点95%区间。</w:t>
      </w:r>
    </w:p>
    <w:p>
      <w:pPr>
        <w:pStyle w:val="Heading2"/>
      </w:pPr>
      <w:r>
        <w:t>5.4 新增主题异质性</w:t>
      </w:r>
    </w:p>
    <w:p>
      <w:pPr>
        <w:widowControl/>
      </w:pPr>
      <w:r>
        <w:t>G2−G1的差异集中在审计委员会主题D2，已知19个配对的均差约0.684；分红披露D1为0.100，内部控制D3为0。每个主题仍只有20家公司各一题，主题分析属于事后分层，不足以说明该领域所有审计委员会问题都有相同收益。</w:t>
      </w:r>
    </w:p>
    <w:p>
      <w:pPr>
        <w:widowControl/>
      </w:pPr>
      <w:r>
        <w:t>该分布使总体结论更具体：观察到的收益并不平均分布于三个主题。它可能与问题对规范依据的需求及实际候选组成有关，但本研究没有通过独立中介实验排除题目措辞、参考要点与评分分辨率的影响。报告分层结果的目的，是给出可进一步检验的失败与收益范围。</w:t>
      </w:r>
      <w:r>
        <w:t xml:space="preserve"> 主题分层结果见表9和图6。</w:t>
      </w:r>
    </w:p>
    <w:p>
      <w:pPr>
        <w:pStyle w:val="Caption"/>
        <w:keepNext/>
        <w:widowControl/>
      </w:pPr>
      <w:r>
        <w:t>表9 新增主题分层配对差异</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主题</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95%区间</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0.100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 0.200]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0.684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[0.474, 0.868]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-0.053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[-0.158,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0.075]</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-0.618</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[-0.853, -0.441]</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0.059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0.147]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[-0.425, -0.175]</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-0.750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[-0.972, -0.583]</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0.324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[0.206, 0.441]</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[-0.583, -0.417]</w:t>
            </w:r>
          </w:p>
        </w:tc>
      </w:tr>
    </w:tbl>
    <w:p>
      <w:pPr>
        <w:keepNext/>
      </w:pPr>
      <w:r>
        <w:drawing>
          <wp:inline xmlns:a="http://schemas.openxmlformats.org/drawingml/2006/main" xmlns:pic="http://schemas.openxmlformats.org/drawingml/2006/picture">
            <wp:extent cx="5868000" cy="2388878"/>
            <wp:docPr id="6" name="Picture 6"/>
            <wp:cNvGraphicFramePr>
              <a:graphicFrameLocks noChangeAspect="1"/>
            </wp:cNvGraphicFramePr>
            <a:graphic>
              <a:graphicData uri="http://schemas.openxmlformats.org/drawingml/2006/picture">
                <pic:pic>
                  <pic:nvPicPr>
                    <pic:cNvPr id="0" name="quality_topic_effects.png"/>
                    <pic:cNvPicPr/>
                  </pic:nvPicPr>
                  <pic:blipFill>
                    <a:blip r:embed="rId15"/>
                    <a:stretch>
                      <a:fillRect/>
                    </a:stretch>
                  </pic:blipFill>
                  <pic:spPr>
                    <a:xfrm>
                      <a:off x="0" y="0"/>
                      <a:ext cx="5868000" cy="2388878"/>
                    </a:xfrm>
                    <a:prstGeom prst="rect"/>
                  </pic:spPr>
                </pic:pic>
              </a:graphicData>
            </a:graphic>
          </wp:inline>
        </w:drawing>
      </w:r>
    </w:p>
    <w:p>
      <w:pPr>
        <w:pStyle w:val="Caption"/>
        <w:widowControl/>
      </w:pPr>
      <w:r>
        <w:t>图6 新增主题异质性。D1为分红披露，D2为审计委员会，D3为内部控制；分层区间未经多重比较校正。</w:t>
      </w:r>
    </w:p>
    <w:p>
      <w:pPr>
        <w:pStyle w:val="Heading2"/>
      </w:pPr>
      <w:r>
        <w:t>5.5 评分者差异与量表天花板</w:t>
      </w:r>
    </w:p>
    <w:p>
      <w:pPr>
        <w:widowControl/>
      </w:pPr>
      <w:r>
        <w:t>386条回答共1544对逐维度评分，1312对一致，精确一致率84.97%。法规项一致率仅55.96%，二次加权κ约0.201。人员2的法规分相对人员1平均低0.435，显示法规评分存在明显尺度或判断差异。均分能够对称保留两人的信息，但不能将这种差异自动变成共识。</w:t>
      </w:r>
    </w:p>
    <w:p>
      <w:pPr>
        <w:widowControl/>
      </w:pPr>
      <w:r>
        <w:t>引用与不确定性精确一致率分别为97.67%和99.74%，但由于一侧分值恒定，κ均为0。高一致率在这里伴随近满分分布，不能据此宣称测量高度可靠。若大量回答在同一档位，统计上小的差异既可能表示方法接近，也可能表示量表缺乏分辨率；本文不选择其中一种作为已证实解释。</w:t>
      </w:r>
      <w:r>
        <w:t xml:space="preserve"> 评分者一致性与尺度差异见表10和图7。</w:t>
      </w:r>
    </w:p>
    <w:p>
      <w:pPr>
        <w:pStyle w:val="Caption"/>
        <w:keepNext/>
        <w:widowControl/>
      </w:pPr>
      <w:r>
        <w:t>表10 新增评分者尺度诊断</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维度</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精确一致率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加权κ</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R2−R1均差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R1满分率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R2满分率</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公司事实</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92.7%</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法规依据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0.201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-0.435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43.0%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引用支持</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不确定性</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r>
    </w:tbl>
    <w:p>
      <w:pPr>
        <w:keepNext/>
      </w:pPr>
      <w:r>
        <w:drawing>
          <wp:inline xmlns:a="http://schemas.openxmlformats.org/drawingml/2006/main" xmlns:pic="http://schemas.openxmlformats.org/drawingml/2006/picture">
            <wp:extent cx="5868000" cy="2646252"/>
            <wp:docPr id="7" name="Picture 7"/>
            <wp:cNvGraphicFramePr>
              <a:graphicFrameLocks noChangeAspect="1"/>
            </wp:cNvGraphicFramePr>
            <a:graphic>
              <a:graphicData uri="http://schemas.openxmlformats.org/drawingml/2006/picture">
                <pic:pic>
                  <pic:nvPicPr>
                    <pic:cNvPr id="0" name="quality_ceiling_diagnostics.png"/>
                    <pic:cNvPicPr/>
                  </pic:nvPicPr>
                  <pic:blipFill>
                    <a:blip r:embed="rId16"/>
                    <a:stretch>
                      <a:fillRect/>
                    </a:stretch>
                  </pic:blipFill>
                  <pic:spPr>
                    <a:xfrm>
                      <a:off x="0" y="0"/>
                      <a:ext cx="5868000" cy="2646252"/>
                    </a:xfrm>
                    <a:prstGeom prst="rect"/>
                  </pic:spPr>
                </pic:pic>
              </a:graphicData>
            </a:graphic>
          </wp:inline>
        </w:drawing>
      </w:r>
    </w:p>
    <w:p>
      <w:pPr>
        <w:pStyle w:val="Caption"/>
        <w:widowControl/>
      </w:pPr>
      <w:r>
        <w:t>图7 评分天花板与人员满分率。近满分维度不能据其高一致率推导逐论断可靠性。</w:t>
      </w:r>
    </w:p>
    <w:p>
      <w:pPr>
        <w:pStyle w:val="Heading2"/>
      </w:pPr>
      <w:r>
        <w:t>5.6 消融来源与服务版本</w:t>
      </w:r>
    </w:p>
    <w:p>
      <w:pPr>
        <w:widowControl/>
      </w:pPr>
      <w:r>
        <w:t>G3在已观测配对上低于去重排与仅BM25，差值分别为−0.300和−0.325。人员间对BM25比较方向不同，相关缺失敏感性界限也跨0，因此结论不能写成重排必然有害或稠密检索普遍失败。更合理的观察是，在当前任务和量表下，完整配置未显示普遍优势。</w:t>
      </w:r>
    </w:p>
    <w:p>
      <w:pPr>
        <w:widowControl/>
      </w:pPr>
      <w:r>
        <w:t>预选20题的来源缺失配对完整，删除年报下降0.900，删除法规下降0.650。该结果与来源互补一致，但不提供来源角色标签的纯因果效应，因为删除改变内容与实际上下文长度。缺失后保留高不确定性分也不表示问题已被完整回答。</w:t>
      </w:r>
    </w:p>
    <w:p>
      <w:pPr>
        <w:widowControl/>
      </w:pPr>
      <w:r>
        <w:t>三个K2.8减K3比较的原点对点区间均包含或接触0，评分者方向也不一致。未统一的服务思考预算使版本比较存在潜在计算条件混杂。即使将来增加重复生成，也需要控制调用参数和服务身份，不能仅增加样本就把它升级为严格的跨模型族验证。</w:t>
      </w:r>
      <w:r>
        <w:t xml:space="preserve"> 来源删除和同系列服务版本比较见表11。</w:t>
      </w:r>
    </w:p>
    <w:p>
      <w:pPr>
        <w:pStyle w:val="Caption"/>
        <w:keepNext/>
        <w:widowControl/>
      </w:pPr>
      <w:r>
        <w:t>表11 同系列服务版本差异 保留原分析</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K2.8减K3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95%区间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K28-K3__G1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-0.075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[-0.150, 0.000]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K28-K3__G2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19/20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-0.079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[-0.158, 0.000]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K28-K3__G3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[-0.075, 0.150]</w:t>
            </w:r>
          </w:p>
        </w:tc>
      </w:tr>
    </w:tbl>
    <w:p>
      <w:pPr>
        <w:pStyle w:val="Heading2"/>
      </w:pPr>
      <w:r>
        <w:t>5.7 新增完整样本与缺失敏感性</w:t>
      </w:r>
    </w:p>
    <w:p>
      <w:pPr>
        <w:widowControl/>
      </w:pPr>
      <w:r>
        <w:t>逐公司删一分析中，G2−G1仍保持正向，范围[0.237,0.263]；G3−G2范围[−0.018,0.009]跨0。五方法都有输出的49题子集中，G2−G1为+0.213，G3−G2为−0.038；在12个完整公司36题上分别为+0.208和0。这些结果说明当前方向不完全依赖某一个公司或某一对缺失题，但共同成功子集仍有选择偏差。</w:t>
      </w:r>
    </w:p>
    <w:p>
      <w:pPr>
        <w:widowControl/>
      </w:pPr>
      <w:r>
        <w:t>新增锐界保留了缺失配对中的已知一侧，通常比将整对当作[−8,8]更窄。G2−G1全60题的问题加权均差锐界为[0.133,0.267]，仍为正；G3−G2为[−0.133,0.133]。G3对两个简化配置的锐界均跨0，因而不能将观察到的简化配置优势称为对全计划题目缺失稳健。锐界是代数可行范围，不是置信区间，不以其跨度衡量统计精度。</w:t>
      </w:r>
      <w:r>
        <w:t xml:space="preserve"> 删一分析与缺失边界见表12和图8。</w:t>
      </w:r>
    </w:p>
    <w:p>
      <w:pPr>
        <w:pStyle w:val="Caption"/>
        <w:keepNext/>
        <w:widowControl/>
      </w:pPr>
      <w:r>
        <w:t>表12 新增删一与已知单侧缺失界 量尺与估计对象分别说明</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删一公司宏差范围</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全清单题均差锐界</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胜/平/负题数</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[0.237, 0.263]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[0.133, 0.267]</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18/41/0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[-0.018, 0.009]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[-0.133, 0.133]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1/56/1</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[-0.325, -0.263]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[-0.400, 0.400]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2/26/26</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[-0.342, -0.303]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[-0.442, 0.492]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11/7/35</w:t>
            </w:r>
          </w:p>
        </w:tc>
      </w:tr>
    </w:tbl>
    <w:p>
      <w:pPr>
        <w:keepNext/>
      </w:pPr>
      <w:r>
        <w:drawing>
          <wp:inline xmlns:a="http://schemas.openxmlformats.org/drawingml/2006/main" xmlns:pic="http://schemas.openxmlformats.org/drawingml/2006/picture">
            <wp:extent cx="5868000" cy="3597001"/>
            <wp:docPr id="8" name="Picture 8"/>
            <wp:cNvGraphicFramePr>
              <a:graphicFrameLocks noChangeAspect="1"/>
            </wp:cNvGraphicFramePr>
            <a:graphic>
              <a:graphicData uri="http://schemas.openxmlformats.org/drawingml/2006/picture">
                <pic:pic>
                  <pic:nvPicPr>
                    <pic:cNvPr id="0" name="missingness_and_loco_sensitivity.png"/>
                    <pic:cNvPicPr/>
                  </pic:nvPicPr>
                  <pic:blipFill>
                    <a:blip r:embed="rId17"/>
                    <a:stretch>
                      <a:fillRect/>
                    </a:stretch>
                  </pic:blipFill>
                  <pic:spPr>
                    <a:xfrm>
                      <a:off x="0" y="0"/>
                      <a:ext cx="5868000" cy="3597001"/>
                    </a:xfrm>
                    <a:prstGeom prst="rect"/>
                  </pic:spPr>
                </pic:pic>
              </a:graphicData>
            </a:graphic>
          </wp:inline>
        </w:drawing>
      </w:r>
    </w:p>
    <w:p>
      <w:pPr>
        <w:pStyle w:val="Caption"/>
        <w:widowControl/>
      </w:pPr>
      <w:r>
        <w:t>图8 新增缺失与逐公司删一敏感性。本图观测均差区间以20000次公司聚类bootstrap补算，种子20261023，与维度、主题图的10000次不同。公司宏均差区间与完整题均差的代数界是不同估计对象，不能将后者读作置信区间。</w:t>
      </w:r>
    </w:p>
    <w:p>
      <w:pPr>
        <w:pStyle w:val="Heading1"/>
      </w:pPr>
      <w:r>
        <w:t>6 新增检索实验与运行分析</w:t>
      </w:r>
    </w:p>
    <w:p>
      <w:pPr>
        <w:pStyle w:val="Heading2"/>
      </w:pPr>
      <w:r>
        <w:t>6.1 来源供给与目标定位覆盖</w:t>
      </w:r>
    </w:p>
    <w:p>
      <w:pPr>
        <w:widowControl/>
      </w:pPr>
      <w:r>
        <w:t>新增回放在原配置下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w:t>
      </w:r>
    </w:p>
    <w:p>
      <w:pPr>
        <w:widowControl/>
      </w:pPr>
      <w:r>
        <w: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w:t>
      </w:r>
      <w:r>
        <w:t xml:space="preserve"> 来源供给及严格目标位置结果见表13和图9。</w:t>
      </w:r>
    </w:p>
    <w:p>
      <w:pPr>
        <w:pStyle w:val="Caption"/>
        <w:keepNext/>
        <w:widowControl/>
      </w:pPr>
      <w:r>
        <w:t>表13 新增原配置回放来源供给与严格目标位置代理</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A/R片段均值</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A页覆盖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R定位覆盖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角色宏覆盖</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5.00 / 5.00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39.1%</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8.18 / 1.18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79.7%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bl>
    <w:p>
      <w:pPr>
        <w:keepNext/>
      </w:pPr>
      <w:r>
        <w:drawing>
          <wp:inline xmlns:a="http://schemas.openxmlformats.org/drawingml/2006/main" xmlns:pic="http://schemas.openxmlformats.org/drawingml/2006/picture">
            <wp:extent cx="5868000" cy="2305613"/>
            <wp:docPr id="9" name="Picture 9"/>
            <wp:cNvGraphicFramePr>
              <a:graphicFrameLocks noChangeAspect="1"/>
            </wp:cNvGraphicFramePr>
            <a:graphic>
              <a:graphicData uri="http://schemas.openxmlformats.org/drawingml/2006/picture">
                <pic:pic>
                  <pic:nvPicPr>
                    <pic:cNvPr id="0" name="R3_context_allocation.png"/>
                    <pic:cNvPicPr/>
                  </pic:nvPicPr>
                  <pic:blipFill>
                    <a:blip r:embed="rId18"/>
                    <a:stretch>
                      <a:fillRect/>
                    </a:stretch>
                  </pic:blipFill>
                  <pic:spPr>
                    <a:xfrm>
                      <a:off x="0" y="0"/>
                      <a:ext cx="5868000" cy="2305613"/>
                    </a:xfrm>
                    <a:prstGeom prst="rect"/>
                  </pic:spPr>
                </pic:pic>
              </a:graphicData>
            </a:graphic>
          </wp:inline>
        </w:drawing>
      </w:r>
    </w:p>
    <w:p>
      <w:pPr>
        <w:pStyle w:val="Caption"/>
        <w:widowControl/>
      </w:pPr>
      <w:r>
        <w:t>图9 新增来源分配回放。类型同时存在是供给指标，不能替代参考页面覆盖或语义支持。</w:t>
      </w:r>
    </w:p>
    <w:p>
      <w:pPr>
        <w:pStyle w:val="Heading2"/>
      </w:pPr>
      <w:r>
        <w:t>6.2 预算配额回放与阶段损失</w:t>
      </w:r>
    </w:p>
    <w:p>
      <w:pPr>
        <w:widowControl/>
      </w:pPr>
      <w:r>
        <w:t>1800个上下文覆盖五个token上限和三个候选配额，使用与历史相同的候选顺序。原配置120/120逐字复现，说明后续变化来自本轮指定的候选截取与组装，而不是另一个实现。预算增加允许更多整片段进入，但如果目标原文不在保存候选中，仅增加上下文长度不能恢复它。</w:t>
      </w:r>
    </w:p>
    <w:p>
      <w:pPr>
        <w:widowControl/>
      </w:pPr>
      <w:r>
        <w:t>在原6000配置中，G2十个候选全部装入，最终法规目标位置仍在53/60题缺失；G1在60/60题中都没有严格命中法规参考位置。因此，至少对这些目标来源—页面键而言，主要差距发生在候选选择阶段，而非默认G2的token组装阶段。若另有等价文本来源获检索，此指标不会计入，需通过独立语义对齐确认。</w:t>
      </w:r>
    </w:p>
    <w:p>
      <w:pPr>
        <w:widowControl/>
      </w:pPr>
      <w:r>
        <w:t>这项实验不重新搜索候选池之外的片段，也不生成1800条答案。它能验证同一保存排序的预算敏感性，不能说明改变top-k后重新执行神经检索或重排的端到端效果。高预算回放中的质量推断应停留在证据供给层面；任何回答质量收益仍需要实际生成与独立评分。</w:t>
      </w:r>
      <w:r>
        <w:t xml:space="preserve"> 预算回放结果见表14和图10；主题分层覆盖见图11。</w:t>
      </w:r>
    </w:p>
    <w:p>
      <w:pPr>
        <w:pStyle w:val="Caption"/>
        <w:keepNext/>
        <w:widowControl/>
      </w:pPr>
      <w:r>
        <w:t>表14 新增预算回放 总候选上限10</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参考上限</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保留片段</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角色宏定位覆盖</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953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6.18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1905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9.10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3448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2.73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56.7%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3726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37.3%</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9.37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5407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40.7%</w:t>
            </w:r>
          </w:p>
        </w:tc>
      </w:tr>
    </w:tbl>
    <w:p>
      <w:pPr>
        <w:keepNext/>
      </w:pPr>
      <w:r>
        <w:drawing>
          <wp:inline xmlns:a="http://schemas.openxmlformats.org/drawingml/2006/main" xmlns:pic="http://schemas.openxmlformats.org/drawingml/2006/picture">
            <wp:extent cx="5868000" cy="1702607"/>
            <wp:docPr id="10" name="Picture 10"/>
            <wp:cNvGraphicFramePr>
              <a:graphicFrameLocks noChangeAspect="1"/>
            </wp:cNvGraphicFramePr>
            <a:graphic>
              <a:graphicData uri="http://schemas.openxmlformats.org/drawingml/2006/picture">
                <pic:pic>
                  <pic:nvPicPr>
                    <pic:cNvPr id="0" name="R1_budget_sensitivity.png"/>
                    <pic:cNvPicPr/>
                  </pic:nvPicPr>
                  <pic:blipFill>
                    <a:blip r:embed="rId19"/>
                    <a:stretch>
                      <a:fillRect/>
                    </a:stretch>
                  </pic:blipFill>
                  <pic:spPr>
                    <a:xfrm>
                      <a:off x="0" y="0"/>
                      <a:ext cx="5868000" cy="1702607"/>
                    </a:xfrm>
                    <a:prstGeom prst="rect"/>
                  </pic:spPr>
                </pic:pic>
              </a:graphicData>
            </a:graphic>
          </wp:inline>
        </w:drawing>
      </w:r>
    </w:p>
    <w:p>
      <w:pPr>
        <w:pStyle w:val="Caption"/>
        <w:widowControl/>
      </w:pPr>
      <w:r>
        <w:t>图10 新增预算敏感性，总候选上限10。曲线为缓存候选回放，不包含重检索、生成或新人工评分。</w:t>
      </w:r>
    </w:p>
    <w:p>
      <w:pPr>
        <w:keepNext/>
      </w:pPr>
      <w:r>
        <w:drawing>
          <wp:inline xmlns:a="http://schemas.openxmlformats.org/drawingml/2006/main" xmlns:pic="http://schemas.openxmlformats.org/drawingml/2006/picture">
            <wp:extent cx="5868000" cy="2253934"/>
            <wp:docPr id="11" name="Picture 11"/>
            <wp:cNvGraphicFramePr>
              <a:graphicFrameLocks noChangeAspect="1"/>
            </wp:cNvGraphicFramePr>
            <a:graphic>
              <a:graphicData uri="http://schemas.openxmlformats.org/drawingml/2006/picture">
                <pic:pic>
                  <pic:nvPicPr>
                    <pic:cNvPr id="0" name="R2_topic_page_coverage.png"/>
                    <pic:cNvPicPr/>
                  </pic:nvPicPr>
                  <pic:blipFill>
                    <a:blip r:embed="rId20"/>
                    <a:stretch>
                      <a:fillRect/>
                    </a:stretch>
                  </pic:blipFill>
                  <pic:spPr>
                    <a:xfrm>
                      <a:off x="0" y="0"/>
                      <a:ext cx="5868000" cy="2253934"/>
                    </a:xfrm>
                    <a:prstGeom prst="rect"/>
                  </pic:spPr>
                </pic:pic>
              </a:graphicData>
            </a:graphic>
          </wp:inline>
        </w:drawing>
      </w:r>
    </w:p>
    <w:p>
      <w:pPr>
        <w:pStyle w:val="Caption"/>
        <w:widowControl/>
      </w:pPr>
      <w:r>
        <w:t>图11 新增主题分层目标定位覆盖。严格来源哈希匹配不自动合并替代法规文本；数值不是标准片段Recall。</w:t>
      </w:r>
    </w:p>
    <w:p>
      <w:pPr>
        <w:pStyle w:val="Heading2"/>
      </w:pPr>
      <w:r>
        <w:t>6.3 新执行的BM25基线与定位粒度敏感性</w:t>
      </w:r>
    </w:p>
    <w:p>
      <w:pPr>
        <w:widowControl/>
      </w:pPr>
      <w:r>
        <w:t>为避免只对已有结果重画图，本文新增运行同范围的CPU BM25检索。使用项目原BM25与jieba实现，k1=1.5、b=0.75；IDF在完整19367片段上拟合，与原混合检索组件一致。返回候选仍排除335个旧版本片段，只在19032个合格片段中选择，年报按公司与年度约束。公开问题直接用作查询，排名ID在读取参考答案之前落盘，防止以参考引文构造有利查询。</w:t>
      </w:r>
    </w:p>
    <w:p>
      <w:pPr>
        <w:widowControl/>
      </w:pPr>
      <w:r>
        <w:t>60条问题均完成merged与dual两种检索，每个排序在五种预算下组装，产生600个新上下文。此处是新执行的稀疏检索，不是缓存神经排序的再截取；同样没有调用生成器，因此不能拿它替代先前人工评分的BM25生成条件，也不能把两套BM25条件的数据直接拼成一次端到端实验。</w:t>
      </w:r>
      <w:r>
        <w:t xml:space="preserve"> 排名和预算回放的来源定位结果见表15。</w:t>
      </w:r>
    </w:p>
    <w:p>
      <w:pPr>
        <w:pStyle w:val="Caption"/>
        <w:keepNext/>
        <w:widowControl/>
      </w:pPr>
      <w:r>
        <w:t>表15 新BM25与缓存混合重排在6000上限的来源定位代理</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检索来源</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A定位覆盖</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R定位覆盖</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双参考角色</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4945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69.0%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5319</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5381</w:t>
            </w:r>
          </w:p>
        </w:tc>
      </w:tr>
    </w:tbl>
    <w:p>
      <w:pPr>
        <w:widowControl/>
      </w:pPr>
      <w:r>
        <w:t>表面上，新BM25的法规位置覆盖达到30.00%和33.33%，高于缓存混合重排。但逐粒度拆分后，这一改善完全来自整份TXT来源匹配：内控20题中，BM25合并和双路分别命中18/20和20/20个来源；而在40个PDF法规参考问题上，两个BM25策略的页级覆盖均为0，缓存双路为5.83%。因此，汇总代理的提高主要反映定位粒度与文档身份，不是BM25已经实现更精确的法律段落检索。</w:t>
      </w:r>
    </w:p>
    <w:p>
      <w:pPr>
        <w:widowControl/>
      </w:pPr>
      <w:r>
        <w:t>这一敏感性实验说明，在混合文档形态的RAG评测中，页级与源文件级标注不能无说明地放在一个“检索准确率”中。整份法规文件被检索到，比没有该文件更有利，但不保证返回片段位于相关条文，也不能证明适用版本正确。对于来源单位不同的指标，应保持拆分结果，以免系统因命中较粗的标签而显得更优。</w:t>
      </w:r>
      <w:r>
        <w:t xml:space="preserve"> 法规页级和文件级定位结果分列于表16。</w:t>
      </w:r>
    </w:p>
    <w:p>
      <w:pPr>
        <w:pStyle w:val="Caption"/>
        <w:keepNext/>
        <w:widowControl/>
      </w:pPr>
      <w:r>
        <w:t>表16 法规定位粒度拆分 不同分母不得直接比较</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方法</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PDF-only 40题页覆盖</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TXT-only 20题来源命中</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 / 20</w:t>
            </w:r>
          </w:p>
        </w:tc>
      </w:tr>
    </w:tbl>
    <w:p>
      <w:pPr>
        <w:widowControl/>
      </w:pPr>
      <w:r>
        <w:t>作为替代来源敏感性补充，去除来源身份限制后的法规参考引文12字符词面覆盖，在缓存G1/G2中分别为0.59%与11.88%；G2有33题虽然严格参考位置未命中，但在其他来源或页面出现部分参考措辞。例如规范复述、修订决定与正文重复，都可能导致这种现象。词面重叠不证明法规等价、版本相同或具体论断受支持，因此它只提示严格定位可能漏计替代材料，不能把两种指标加总成语义正确率。</w:t>
      </w:r>
    </w:p>
    <w:p>
      <w:pPr>
        <w:widowControl/>
      </w:pPr>
      <w:r>
        <w:t>本次对照仍受组件条件限制：缓存混合结果来自已保存神经候选，而新BM25重新执行稀疏检索；没有同时重跑完整神经链。已有模型revision与原始查询保持记录，供未来在相同机器和同次执行中复核。当前实验的作用是揭示指标、定位粒度与来源供给的关系，不据此宣称一种完整系统胜出。</w:t>
      </w:r>
    </w:p>
    <w:p>
      <w:pPr>
        <w:pStyle w:val="Heading2"/>
      </w:pPr>
      <w:r>
        <w:t>6.4 结构引用与真实质量的分离</w:t>
      </w:r>
    </w:p>
    <w:p>
      <w:pPr>
        <w:widowControl/>
      </w:pPr>
      <w:r>
        <w:t>新增结构解析统计G1、G2、G3分别产生868、913、1051条模型自报claims，平均每回答约14.47、15.47、17.81条。带有A和R两类ID的模型论断比例从约2.30%、4.38%增至11.23%。这表明角色提示改变了输出组织，但不能证明新增论断或新增双源连线受到原文支持。</w:t>
      </w:r>
    </w:p>
    <w:p>
      <w:pPr>
        <w:widowControl/>
      </w:pPr>
      <w:r>
        <w:t>三条件均未出现无法解析到输入集合的来源ID，说明编号检查能够通过；这与引用语义正确并不是一回事。更多claims还可能来自复合论断拆分粒度不同，或回答更长。本文因此将结构图放在证据使用诊断中，不把它作为角色提示优于G2的质量证据，也不拿supported字段统计“真实性”。</w:t>
      </w:r>
      <w:r>
        <w:t xml:space="preserve"> 引用结构代理及其限制见表17和图12。</w:t>
      </w:r>
    </w:p>
    <w:p>
      <w:pPr>
        <w:pStyle w:val="Caption"/>
        <w:keepNext/>
        <w:widowControl/>
      </w:pPr>
      <w:r>
        <w:t>表17 新增引用结构代理 仅模型输出结构</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回答数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模型claims数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每回答claims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双角色ID论断比例</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未知ID数</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14.47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15.47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1051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17.81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11.2%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 rerank</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18.42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16.72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w:t>
            </w:r>
          </w:p>
        </w:tc>
      </w:tr>
    </w:tbl>
    <w:p>
      <w:pPr>
        <w:keepNext/>
      </w:pPr>
      <w:r>
        <w:drawing>
          <wp:inline xmlns:a="http://schemas.openxmlformats.org/drawingml/2006/main" xmlns:pic="http://schemas.openxmlformats.org/drawingml/2006/picture">
            <wp:extent cx="5868000" cy="2343771"/>
            <wp:docPr id="12" name="Picture 12"/>
            <wp:cNvGraphicFramePr>
              <a:graphicFrameLocks noChangeAspect="1"/>
            </wp:cNvGraphicFramePr>
            <a:graphic>
              <a:graphicData uri="http://schemas.openxmlformats.org/drawingml/2006/picture">
                <pic:pic>
                  <pic:nvPicPr>
                    <pic:cNvPr id="0" name="citation_structure_proxies.png"/>
                    <pic:cNvPicPr/>
                  </pic:nvPicPr>
                  <pic:blipFill>
                    <a:blip r:embed="rId21"/>
                    <a:stretch>
                      <a:fillRect/>
                    </a:stretch>
                  </pic:blipFill>
                  <pic:spPr>
                    <a:xfrm>
                      <a:off x="0" y="0"/>
                      <a:ext cx="5868000" cy="2343771"/>
                    </a:xfrm>
                    <a:prstGeom prst="rect"/>
                  </pic:spPr>
                </pic:pic>
              </a:graphicData>
            </a:graphic>
          </wp:inline>
        </w:drawing>
      </w:r>
    </w:p>
    <w:p>
      <w:pPr>
        <w:pStyle w:val="Caption"/>
        <w:widowControl/>
      </w:pPr>
      <w:r>
        <w:t>图12 新增模型输出结构诊断。claims、支持标签与来源ID同现均为模型自报或语法属性，不是人员语义标签。</w:t>
      </w:r>
    </w:p>
    <w:p>
      <w:pPr>
        <w:pStyle w:val="Heading2"/>
      </w:pPr>
      <w:r>
        <w:t>6.5 请求token与延迟</w:t>
      </w:r>
    </w:p>
    <w:p>
      <w:pPr>
        <w:widowControl/>
      </w:pPr>
      <w:r>
        <w:t>保存日志允许报告最终选取成功调用的prompt、completion、总token及请求延迟，但不包含此前失败请求、检索建库和全部恢复消耗，也不含真实供应商单价。因此本节使用资源用量描述，不报告货币成本优势或端到端响应速度。不同条件运行时的并发、网络和服务负载不相同，不能把延迟差直接归因于模型算法。</w:t>
      </w:r>
    </w:p>
    <w:p>
      <w:pPr>
        <w:widowControl/>
      </w:pPr>
      <w:r>
        <w:t>例如，G2的参考上下文比G1短，不等于总生成token按同比例减少，因为推理与回答长度也可能变化。角色提示增加结构化论断后，输出用量可能上升，而量表又未显示稳定增益。对于部署选择，这种开销与可测收益应共同报告，而不是只展示输入token节省。</w:t>
      </w:r>
      <w:r>
        <w:t xml:space="preserve"> 选取成功调用的资源用量汇总见表18和图13。</w:t>
      </w:r>
    </w:p>
    <w:p>
      <w:pPr>
        <w:pStyle w:val="Caption"/>
        <w:keepNext/>
        <w:widowControl/>
      </w:pPr>
      <w:r>
        <w:t>表18 最终选取成功调用的资源均值 非端到端成本</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样本</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输入token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输出token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请求秒数中位</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4438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3579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96.6</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3816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4112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7928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113.4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3849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4303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8152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122.4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 rerank</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4789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101.2</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5141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4061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9202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85.6</w:t>
            </w:r>
          </w:p>
        </w:tc>
      </w:tr>
    </w:tbl>
    <w:p>
      <w:pPr>
        <w:keepNext/>
      </w:pPr>
      <w:r>
        <w:drawing>
          <wp:inline xmlns:a="http://schemas.openxmlformats.org/drawingml/2006/main" xmlns:pic="http://schemas.openxmlformats.org/drawingml/2006/picture">
            <wp:extent cx="5868000" cy="2270243"/>
            <wp:docPr id="13" name="Picture 13"/>
            <wp:cNvGraphicFramePr>
              <a:graphicFrameLocks noChangeAspect="1"/>
            </wp:cNvGraphicFramePr>
            <a:graphic>
              <a:graphicData uri="http://schemas.openxmlformats.org/drawingml/2006/picture">
                <pic:pic>
                  <pic:nvPicPr>
                    <pic:cNvPr id="0" name="selected_attempt_resource_profile.png"/>
                    <pic:cNvPicPr/>
                  </pic:nvPicPr>
                  <pic:blipFill>
                    <a:blip r:embed="rId22"/>
                    <a:stretch>
                      <a:fillRect/>
                    </a:stretch>
                  </pic:blipFill>
                  <pic:spPr>
                    <a:xfrm>
                      <a:off x="0" y="0"/>
                      <a:ext cx="5868000" cy="2270243"/>
                    </a:xfrm>
                    <a:prstGeom prst="rect"/>
                  </pic:spPr>
                </pic:pic>
              </a:graphicData>
            </a:graphic>
          </wp:inline>
        </w:drawing>
      </w:r>
    </w:p>
    <w:p>
      <w:pPr>
        <w:pStyle w:val="Caption"/>
        <w:widowControl/>
      </w:pPr>
      <w:r>
        <w:t>图13 新增选取成功调用的资源剖面。点为中位数，线为四分位区间，并非95%置信区间；邻表token列为均值。失败调用与检索建库不计入，跨条件并发不可完全控制。</w:t>
      </w:r>
    </w:p>
    <w:p>
      <w:pPr>
        <w:pStyle w:val="Heading2"/>
      </w:pPr>
      <w:r>
        <w:t>6.6 真实案例与分歧分析</w:t>
      </w:r>
    </w:p>
    <w:p>
      <w:pPr>
        <w:widowControl/>
      </w:pPr>
      <w:r>
        <w: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w:t>
      </w:r>
    </w:p>
    <w:p>
      <w:pPr>
        <w:widowControl/>
      </w:pPr>
      <w:r>
        <w:t>保利发展分红案例显示了角色提示下的时间口径风险与评审分歧。G3把“本报告期利润分配预案不适用”扩展为“报告期内未形成并实施当期利润分配”。评审人1指出，保利发展2023年度现金分红方案于2024年实际执行，每股现金红利0.41元并于2024年7月30日发放[30]；G3没有具体报告这笔发生在2024报告期内的分红，故将事实评为0、不确定性评为1。评审人2对事实给2分、法规给1分。该例需同时区分利润分配所属年度与现金发放所在报告期；两位评审人的分项差异应在结果中完整保留。</w:t>
      </w:r>
    </w:p>
    <w:p>
      <w:pPr>
        <w:widowControl/>
      </w:pPr>
      <w:r>
        <w:t>美的审计委员会题三个条件均8分，两人四维全满，示范的是量表持平而非所有论断完全等价；恒瑞内控题G3小幅改善来自人员1引用项变化，事实项仍不满分，人员2总分不变。案例说明为什么总分、人员差异和原文支持需要一起阅读。</w:t>
      </w:r>
      <w:r>
        <w:t xml:space="preserve"> 事后选取案例及评分分歧见表19。</w:t>
      </w:r>
    </w:p>
    <w:p>
      <w:pPr>
        <w:pStyle w:val="Caption"/>
        <w:keepNext/>
        <w:widowControl/>
      </w:pPr>
      <w:r>
        <w:t>表19 事后真实案例 G1/G2/G3均分与G3正文逐字节选</w:t>
      </w:r>
    </w:p>
    <w:tbl>
      <w:tblPr>
        <w:tblStyle w:val="TableGrid"/>
        <w:tblW w:type="auto" w:w="0"/>
        <w:tblLayout w:type="fixed"/>
        <w:tblLook w:firstColumn="1" w:firstRow="1" w:lastColumn="0" w:lastRow="0" w:noHBand="0" w:noVBand="1" w:val="04A0"/>
      </w:tblPr>
      <w:tblGrid>
        <w:gridCol w:w="2098"/>
        <w:gridCol w:w="1077"/>
        <w:gridCol w:w="4365"/>
        <w:gridCol w:w="1984"/>
      </w:tblGrid>
      <w:tr>
        <w:trPr>
          <w:tblHeader w:val="1"/>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问题</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三条件分数</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G3正文节选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G3引用ID节选</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002230SZ-2024-AUDIT_COMMITTEE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依据已提供材料，科大讯飞2024年年报中可直接确认的核心信息来自年报PDF物理第75页的专门委员会表格[A3]：审计委员会成员列示为张本照、吴慈生、刘庆峰；该表“召开会议次数”列示</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600048SH-2024-DIVIDEND_DISCLOSURE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6.5/7.0/6.0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一、报告期实施情况与期后拟议方案的区分  （一）报告期实施情况 据保利发展2024年年度报告，"本报告期利润分配及资本公积金转增股本预案"项下勾选"□适用 √不适用"，即报告期内未</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A3,A4,R1,R2,R3,R4,R5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000333SZ-2024-AUDIT_COMMITTEE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可确认的年报披露：美的集团《2024年度报告》封面显示报告年度为2024、披露时间为2025年03月[A4]。在年报PDF物理第80页（刊页-79-）“七、董事会下设专门委员会在报</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A3,A4,A5,R1,R2,R3,R4,R5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600276SH-2024-INTERNAL_CONTROL</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6.5/6.5/7.0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一、公司披露情况 1. 所提供的恒瑞医药2024年年报摘录中，PDF物理第41、42、47、48页仅显示年报名称和页码，未提供内部控制评价的组织、范围、基准日、评价依据或评价结论等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A1,A2,A3,A4,A5,R1,R2,R3</w:t>
            </w:r>
          </w:p>
        </w:tc>
      </w:tr>
    </w:tbl>
    <w:p>
      <w:pPr>
        <w:widowControl/>
      </w:pPr>
      <w:r>
        <w:t>完整120字符节选、两位人员分项分值、原始响应文件与SHA256及复核说明字段保存在随稿案例清单。此表引文为实际response.evaluation的前段，不补写省略的结论；引用ID列仅列出实际引用的部分ID。</w:t>
      </w:r>
    </w:p>
    <w:p>
      <w:pPr>
        <w:pStyle w:val="Heading1"/>
      </w:pPr>
      <w:r>
        <w:t>7 讨论与有效性限制</w:t>
      </w:r>
    </w:p>
    <w:p>
      <w:pPr>
        <w:pStyle w:val="Heading2"/>
      </w:pPr>
      <w:r>
        <w:t>7.1 正向效应对应的研究结论</w:t>
      </w:r>
    </w:p>
    <w:p>
      <w:pPr>
        <w:widowControl/>
      </w:pPr>
      <w:r>
        <w: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w:t>
      </w:r>
    </w:p>
    <w:p>
      <w:pPr>
        <w:widowControl/>
      </w:pPr>
      <w:r>
        <w:t>对一个面向实际文件的系统而言，原文可回放和来源组织清晰有独立的工程价值。它们降低事后复核时查找材料的成本，也使错误能定位到解析、检索、上下文组装或生成环节。然而，这种工程价值不能抵消回答质量上的负结果；如果简化配置更好，应保留该现象，而不是只展示符合预期的比较。</w:t>
      </w:r>
    </w:p>
    <w:p>
      <w:pPr>
        <w:pStyle w:val="Heading2"/>
      </w:pPr>
      <w:r>
        <w:t>7.2 提示约束为何不能预设有益</w:t>
      </w:r>
    </w:p>
    <w:p>
      <w:pPr>
        <w:widowControl/>
      </w:pPr>
      <w:r>
        <w: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w:t>
      </w:r>
    </w:p>
    <w:p>
      <w:pPr>
        <w:widowControl/>
      </w:pPr>
      <w:r>
        <w: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w:t>
      </w:r>
    </w:p>
    <w:p>
      <w:pPr>
        <w:pStyle w:val="Heading2"/>
      </w:pPr>
      <w:r>
        <w:t>7.3 简化基线与组件解释</w:t>
      </w:r>
    </w:p>
    <w:p>
      <w:pPr>
        <w:widowControl/>
      </w:pPr>
      <w:r>
        <w: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w:t>
      </w:r>
    </w:p>
    <w:p>
      <w:pPr>
        <w:widowControl/>
      </w:pPr>
      <w:r>
        <w: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w:t>
      </w:r>
    </w:p>
    <w:p>
      <w:pPr>
        <w:pStyle w:val="Heading2"/>
      </w:pPr>
      <w:r>
        <w:t>7.4 专业任务中的不确定性</w:t>
      </w:r>
    </w:p>
    <w:p>
      <w:pPr>
        <w:widowControl/>
      </w:pPr>
      <w:r>
        <w:t>删除一类来源后的降分表明材料具有互补性，但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w:t>
      </w:r>
    </w:p>
    <w:p>
      <w:pPr>
        <w:widowControl/>
      </w:pPr>
      <w:r>
        <w: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w:t>
      </w:r>
    </w:p>
    <w:p>
      <w:pPr>
        <w:pStyle w:val="Heading2"/>
      </w:pPr>
      <w:r>
        <w:t>7.5 内部有效性</w:t>
      </w:r>
    </w:p>
    <w:p>
      <w:pPr>
        <w:widowControl/>
      </w:pPr>
      <w:r>
        <w: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w:t>
      </w:r>
    </w:p>
    <w:p>
      <w:pPr>
        <w:widowControl/>
      </w:pPr>
      <w:r>
        <w: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w:t>
      </w:r>
    </w:p>
    <w:p>
      <w:pPr>
        <w:pStyle w:val="Heading2"/>
      </w:pPr>
      <w:r>
        <w:t>7.6 外部有效性与资源限制</w:t>
      </w:r>
    </w:p>
    <w:p>
      <w:pPr>
        <w:widowControl/>
      </w:pPr>
      <w:r>
        <w: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w:t>
      </w:r>
    </w:p>
    <w:p>
      <w:pPr>
        <w:widowControl/>
      </w:pPr>
      <w:r>
        <w:t>补充的法规版本审计发现，本研究问题均以2024年报告为背景，而当前知识库中的DOC100《上市公司信息披露管理办法》、DOC128《上市公司章程指引》和DOC120《上市公司治理准则》分别对应2025年第226号令、2025年第6号公告版和自2026年起施行的2025年第18号公告版；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w:t>
      </w:r>
    </w:p>
    <w:p>
      <w:pPr>
        <w:widowControl/>
      </w:pPr>
      <w:r>
        <w: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w:t>
      </w:r>
    </w:p>
    <w:p>
      <w:pPr>
        <w:widowControl/>
      </w:pPr>
      <w:r>
        <w:t>同系列K3与K2.8服务别名未显式统一思考预算，且底层revision未核实，所测差异不能归因于模型权重，也不能称为跨模型族泛化。每单元一次生成还不足以估计采样波动。本研究不利用这些限制回避负结果，而是用它们约束研究结论，明确哪些观察可以支持，哪些还需新的独立试验。</w:t>
      </w:r>
    </w:p>
    <w:p>
      <w:pPr>
        <w:pStyle w:val="Heading2"/>
      </w:pPr>
      <w:r>
        <w:t>7.7 结论与部署含义</w:t>
      </w:r>
    </w:p>
    <w:p>
      <w:pPr>
        <w:widowControl/>
      </w:pPr>
      <w:r>
        <w:t>部署时可优先采用能够保留身份、版本和定位记录的简单配置，明确区分材料缺失、检索未命中与实际不存在。对于涉及法规适用的事项，界面应展示可获得的事项时间与版本依据以及未知状态。本文的证据支持这种可审计设计的必要性，但尚不能量化其对真实决策风险或人员工作效率的全部影响。</w:t>
      </w:r>
    </w:p>
    <w:p>
      <w:pPr>
        <w:widowControl/>
      </w:pPr>
      <w:r>
        <w:t>本文对上市公司年报与法规问答中的双源检索进行了受控比较。现有双人评分显示，双路检索相较合并检索的公司宏均分差为正，而相同证据下增加来源角色提示未显示稳定增益；来源缺失条件下的得分较低，但来源同现和参考位置覆盖不能替代论断级语义支持。结果支持在该任务中显式组织不同来源，并表明复杂检索配置并不普遍优于简化基线。</w:t>
      </w:r>
    </w:p>
    <w:p>
      <w:pPr>
        <w:widowControl/>
      </w:pPr>
      <w:r>
        <w: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w:t>
      </w:r>
    </w:p>
    <w:p>
      <w:pPr>
        <w:pStyle w:val="Heading1"/>
      </w:pPr>
      <w:r>
        <w:t>数据与代码可用性</w:t>
      </w:r>
    </w:p>
    <w:p>
      <w:pPr>
        <w:widowControl/>
      </w:pPr>
      <w:r>
        <w:t>可复现分析脚本、聚合结果、回放明细、图表原始数据及输入哈希清单保存于项目材料。论文公开仓库地址与原文件再分发范围尚未确定，不虚构公开链接。原始文件、评分与运行记录保留，公开时应按其真实授权处理。</w:t>
      </w:r>
    </w:p>
    <w:p>
      <w:pPr>
        <w:pStyle w:val="Heading1"/>
      </w:pPr>
      <w:r>
        <w:t>参考文献</w:t>
      </w:r>
    </w:p>
    <w:p>
      <w:pPr>
        <w:widowControl/>
        <w:spacing w:after="0" w:before="0" w:line="240" w:lineRule="auto"/>
      </w:pPr>
      <w:r>
        <w:t>[1] Lewis P, et al. Retrieval-Augmented Generation for Knowledge-Intensive NLP Tasks. Advances in Neural Information Processing Systems 33 (NeurIPS 2020): 9459–9474. https://proceedings.neurips.cc/paper/2020/hash/6b493230-Abstract.html</w:t>
      </w:r>
    </w:p>
    <w:p>
      <w:pPr>
        <w:widowControl/>
        <w:spacing w:after="0" w:before="0" w:line="240" w:lineRule="auto"/>
      </w:pPr>
      <w:r>
        <w:t>[2] Chen Z, et al. FinQA: A Dataset of Numerical Reasoning over Financial Data. EMNLP, 2021: 3697–3711. https://doi.org/10.18653/v1/2021.emnlp-main.300</w:t>
      </w:r>
    </w:p>
    <w:p>
      <w:pPr>
        <w:widowControl/>
        <w:spacing w:after="0" w:before="0" w:line="240" w:lineRule="auto"/>
      </w:pPr>
      <w:r>
        <w:t>[3] Zhu F, et al. TAT-QA: A Question Answering Benchmark on a Hybrid of Tabular and Textual Content in Finance. ACL-IJCNLP, 2021: 3277–3287. https://doi.org/10.18653/v1/2021.acl-long.254</w:t>
      </w:r>
    </w:p>
    <w:p>
      <w:pPr>
        <w:widowControl/>
        <w:spacing w:after="0" w:before="0" w:line="240" w:lineRule="auto"/>
      </w:pPr>
      <w:r>
        <w:t>[4] Choe J, Kim J, Jung W. Hierarchical Retrieval with Evidence Curation for Open-Domain Financial Question Answering on Standardized Documents. Findings of ACL, 2025: 16663–16681. https://doi.org/10.18653/v1/2025.findings-acl.855</w:t>
      </w:r>
    </w:p>
    <w:p>
      <w:pPr>
        <w:widowControl/>
        <w:spacing w:after="0" w:before="0" w:line="240" w:lineRule="auto"/>
      </w:pPr>
      <w:r>
        <w:t>[5] Siddharth L, Luo J. Retrieval augmented generation using engineering design knowledge. Knowledge-Based Systems 303, 2024: 112410. https://doi.org/10.1016/j.knosys.2024.112410</w:t>
      </w:r>
    </w:p>
    <w:p>
      <w:pPr>
        <w:widowControl/>
        <w:spacing w:after="0" w:before="0" w:line="240" w:lineRule="auto"/>
      </w:pPr>
      <w:r>
        <w:t>[6] Yang W, Some L, Bain M, Kang B. A comprehensive survey on integrating large language models with knowledge-based methods. Knowledge-Based Systems 318, 2025: 113503. https://doi.org/10.1016/j.knosys.2025.113503</w:t>
      </w:r>
    </w:p>
    <w:p>
      <w:pPr>
        <w:widowControl/>
        <w:spacing w:after="0" w:before="0" w:line="240" w:lineRule="auto"/>
      </w:pPr>
      <w:r>
        <w:t>[7] Robertson S, Zaragoza H. The Probabilistic Relevance Framework: BM25 and Beyond. Foundations and Trends in Information Retrieval 3(4), 2009: 333–389. https://doi.org/10.1561/1500000019</w:t>
      </w:r>
    </w:p>
    <w:p>
      <w:pPr>
        <w:widowControl/>
        <w:spacing w:after="0" w:before="0" w:line="240" w:lineRule="auto"/>
      </w:pPr>
      <w:r>
        <w:t>[8] Karpukhin V, et al. Dense Passage Retrieval for Open-Domain Question Answering. EMNLP, 2020: 6769–6781. https://doi.org/10.18653/v1/2020.emnlp-main.550</w:t>
      </w:r>
    </w:p>
    <w:p>
      <w:pPr>
        <w:widowControl/>
        <w:spacing w:after="0" w:before="0" w:line="240" w:lineRule="auto"/>
      </w:pPr>
      <w:r>
        <w:t>[9] Zhang Y, et al. Qwen3 Embedding: Advancing Text Embedding and Reranking Through Foundation Models. arXiv, 2025. https://arxiv.org/abs/2506.05176</w:t>
      </w:r>
    </w:p>
    <w:p>
      <w:pPr>
        <w:widowControl/>
        <w:spacing w:after="0" w:before="0" w:line="240" w:lineRule="auto"/>
      </w:pPr>
      <w:r>
        <w:t>[10] Cormack G V, Clarke C L A, Buettcher S. Reciprocal rank fusion outperforms condorcet and individual rank learning methods. SIGIR, 2009: 758–759. https://doi.org/10.1145/1571941.1572114</w:t>
      </w:r>
    </w:p>
    <w:p>
      <w:pPr>
        <w:widowControl/>
        <w:spacing w:after="0" w:before="0" w:line="240" w:lineRule="auto"/>
      </w:pPr>
      <w:r>
        <w:t>[11] Alier M, García-Peñalvo F J, Casañ M J, Pereira J, Granados A. Closing the acronym gap in educational retrieval with ontology-guided augmentation. Information Sciences 740, 2026: 123181. https://doi.org/10.1016/j.ins.2026.123181</w:t>
      </w:r>
    </w:p>
    <w:p>
      <w:pPr>
        <w:widowControl/>
        <w:spacing w:after="0" w:before="0" w:line="240" w:lineRule="auto"/>
      </w:pPr>
      <w:r>
        <w:t>[12] Asai A, Wu Z, Wang Y, Sil A, Hajishirzi H. Self-RAG: Learning to Retrieve, Generate, and Critique through Self-Reflection. ICLR, 2024. https://arxiv.org/abs/2310.11511</w:t>
      </w:r>
    </w:p>
    <w:p>
      <w:pPr>
        <w:widowControl/>
        <w:spacing w:after="0" w:before="0" w:line="240" w:lineRule="auto"/>
      </w:pPr>
      <w:r>
        <w:t>[13] Yan S Q, Gu J C, Zhu Y, Ling Z H. Corrective Retrieval Augmented Generation. arXiv, 2024. https://arxiv.org/abs/2401.15884</w:t>
      </w:r>
    </w:p>
    <w:p>
      <w:pPr>
        <w:widowControl/>
        <w:spacing w:after="0" w:before="0" w:line="240" w:lineRule="auto"/>
      </w:pPr>
      <w:r>
        <w:t>[14] Jeong S, Baek J, Cho S, Hwang S J, Park J. Adaptive-RAG: Learning to Adapt Retrieval-Augmented Large Language Models through Question Complexity. NAACL, 2024: 7036–7050. https://doi.org/10.18653/v1/2024.naacl-long.389</w:t>
      </w:r>
    </w:p>
    <w:p>
      <w:pPr>
        <w:widowControl/>
        <w:spacing w:after="0" w:before="0" w:line="240" w:lineRule="auto"/>
      </w:pPr>
      <w:r>
        <w:t>[15] Han W, Xiao X, Li Y, Wang J, Pechenizkiy M, Fang M. Adaptive iterative retrieval for enhanced retrieval-augmented generation. Neurocomputing 666, 2026: 132272. https://doi.org/10.1016/j.neucom.2025.132272</w:t>
      </w:r>
    </w:p>
    <w:p>
      <w:pPr>
        <w:widowControl/>
        <w:spacing w:after="0" w:before="0" w:line="240" w:lineRule="auto"/>
      </w:pPr>
      <w:r>
        <w:t>[16] Yao S, et al. ReAct: Synergizing Reasoning and Acting in Language Models. International Conference on Learning Representations (ICLR 2023). https://arxiv.org/abs/2210.03629</w:t>
      </w:r>
    </w:p>
    <w:p>
      <w:pPr>
        <w:widowControl/>
        <w:spacing w:after="0" w:before="0" w:line="240" w:lineRule="auto"/>
      </w:pPr>
      <w:r>
        <w:t>[17] Li B, Fan S, Zhu S, Wen L. CoLE: A collaborative legal expert prompting framework for large language models in law. Knowledge-Based Systems 311, 2025: 113052. https://doi.org/10.1016/j.knosys.2025.113052</w:t>
      </w:r>
    </w:p>
    <w:p>
      <w:pPr>
        <w:widowControl/>
        <w:spacing w:after="0" w:before="0" w:line="240" w:lineRule="auto"/>
      </w:pPr>
      <w:r>
        <w:t>[18] Wang H, et al. Learning to break: Knowledge-enhanced reasoning in multi-agent debate system. Neurocomputing 618, 2025: 129063. https://doi.org/10.1016/j.neucom.2024.129063</w:t>
      </w:r>
    </w:p>
    <w:p>
      <w:pPr>
        <w:widowControl/>
        <w:spacing w:after="0" w:before="0" w:line="240" w:lineRule="auto"/>
      </w:pPr>
      <w:r>
        <w:t>[19] Gao T, Yen H, Yu J, Chen D. Enabling Large Language Models to Generate Text with Citations. EMNLP, 2023: 6465–6488. https://doi.org/10.18653/v1/2023.emnlp-main.398</w:t>
      </w:r>
    </w:p>
    <w:p>
      <w:pPr>
        <w:widowControl/>
        <w:spacing w:after="0" w:before="0" w:line="240" w:lineRule="auto"/>
      </w:pPr>
      <w:r>
        <w:t>[20] Es S, James J, Espinosa Anke L, Schockaert S. RAGAs: Automated Evaluation of Retrieval Augmented Generation. EACL System Demonstrations, 2024: 150–158. https://doi.org/10.18653/v1/2024.eacl-demo.16</w:t>
      </w:r>
    </w:p>
    <w:p>
      <w:pPr>
        <w:widowControl/>
        <w:spacing w:after="0" w:before="0" w:line="240" w:lineRule="auto"/>
      </w:pPr>
      <w:r>
        <w:t>[21] Ru D, et al. RAGChecker: A Fine-grained Framework for Diagnosing Retrieval-Augmented Generation. Advances in Neural Information Processing Systems 37 (NeurIPS 2024), Datasets and Benchmarks Track. https://doi.org/10.52202/079017-0692</w:t>
      </w:r>
    </w:p>
    <w:p>
      <w:pPr>
        <w:widowControl/>
        <w:spacing w:after="0" w:before="0" w:line="240" w:lineRule="auto"/>
      </w:pPr>
      <w:r>
        <w:t>[22] Pipitone N, Alami G H. LegalBench-RAG: A Benchmark for Retrieval-Augmented Generation in the Legal Domain. arXiv, 2024. https://arxiv.org/abs/2408.10343</w:t>
      </w:r>
    </w:p>
    <w:p>
      <w:pPr>
        <w:widowControl/>
        <w:spacing w:after="0" w:before="0" w:line="240" w:lineRule="auto"/>
      </w:pPr>
      <w:r>
        <w:t>[23] Liu N F, et al. Lost in the Middle: How Language Models Use Long Contexts. TACL 12, 2024: 157–173. https://doi.org/10.1162/tacl_a_00638</w:t>
      </w:r>
    </w:p>
    <w:p>
      <w:pPr>
        <w:widowControl/>
        <w:spacing w:after="0" w:before="0" w:line="240" w:lineRule="auto"/>
      </w:pPr>
      <w:r>
        <w:t>[24] Kimi. 模型配置. 服务别名说明；底层revision未核实，核对日期2026-10-20及2026-10-23。 https://www.kimi.com/help/kimi-code/models</w:t>
      </w:r>
    </w:p>
    <w:p>
      <w:pPr>
        <w:widowControl/>
        <w:spacing w:after="0" w:before="0" w:line="240" w:lineRule="auto"/>
      </w:pPr>
      <w:r>
        <w:t>[25] 中国证监会. 第182号令《上市公司信息披露管理办法》（2021）及第226号令《上市公司信息披露管理办法》（2025）。 https://www.csrc.gov.cn/csrc/c101864/c2ee1a791fddc4f5ebeeb70aa8e2399cf/content.shtml; https://www.csrc.gov.cn/csrc/c101953/c7547359/content.shtml</w:t>
      </w:r>
    </w:p>
    <w:p>
      <w:pPr>
        <w:widowControl/>
        <w:spacing w:after="0" w:before="0" w:line="240" w:lineRule="auto"/>
      </w:pPr>
      <w:r>
        <w:t>[26] 中国证监会. 第62号公告《关于修改〈上市公司章程指引〉的决定》（2023）及第6号公告《上市公司章程指引》（2025）。 https://www.csrc.gov.cn/csrc/c101954/c7449659/content.shtml; https://www.csrc.gov.cn/csrc/c101954/c7547791/content.shtml</w:t>
      </w:r>
    </w:p>
    <w:p>
      <w:pPr>
        <w:widowControl/>
        <w:spacing w:after="0" w:before="0" w:line="240" w:lineRule="auto"/>
      </w:pPr>
      <w:r>
        <w:t>[27] 中国证监会. 第29号公告《上市公司治理准则》（2018）及第18号公告《上市公司治理准则》（2025）。 https://www.csrc.gov.cn/csrc/c101864/c1024585/content.shtml; https://www.csrc.gov.cn/csrc/c101954/c7589726/content.shtml</w:t>
      </w:r>
    </w:p>
    <w:p>
      <w:pPr>
        <w:widowControl/>
        <w:spacing w:after="0" w:before="0" w:line="240" w:lineRule="auto"/>
      </w:pPr>
      <w:r>
        <w:t>[28] Wang R, Balloccu S. ARQA: A Benchmark for Grounded Table–Text QA in Enterprise Annual Reports. Proceedings of the 19th Conference of the European Chapter of the Association for Computational Linguistics, Industry Track, 2026: 847–868. https://doi.org/10.18653/v1/2026.eacl-industry.63</w:t>
      </w:r>
    </w:p>
    <w:p>
      <w:pPr>
        <w:widowControl/>
        <w:spacing w:after="0" w:before="0" w:line="240" w:lineRule="auto"/>
      </w:pPr>
      <w:r>
        <w:t>[29] Zhu T, Liu M, Kurfali M. CFQA: A Chinese Financial Question Answering Benchmark from Corporate Annual Reports. Proceedings of the 7th Financial Narrative Processing Workshop, 2026: 28–38. https://doi.org/10.63317/4e6fhrncfrbu</w:t>
      </w:r>
    </w:p>
    <w:p>
      <w:pPr>
        <w:spacing w:after="0" w:before="0" w:line="240" w:lineRule="auto"/>
      </w:pPr>
      <w:r>
        <w:t>[30] 保利发展控股集团股份有限公司. 2023年年度权益分派实施公告（公告编号2024-055）. 2024-07-24. 巨潮资讯网PDF</w:t>
      </w:r>
    </w:p>
    <w:p>
      <w:pPr>
        <w:pStyle w:val="Heading1"/>
        <w:pageBreakBefore/>
      </w:pPr>
      <w:r>
        <w:t>附录A 回放与审计复现说明</w:t>
      </w:r>
    </w:p>
    <w:p>
      <w:pPr>
        <w:widowControl/>
      </w:pPr>
      <w:r>
        <w: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w:t>
      </w:r>
    </w:p>
    <w:p>
      <w:pPr>
        <w:widowControl/>
      </w:pPr>
      <w:r>
        <w:t>执行核验包括：400个计划源文件身份、386条评分输出的3088个原始字段、原配置120个上下文逐字一致、参考证据123条参考来源位置的索引可用性，以及图表数据与生成脚本。评分者在正文仅以人员1、人员2表示；案例保留分歧，不新增裁定。新增后验分析不回溯称为预注册。</w:t>
      </w:r>
    </w:p>
    <w:p>
      <w:pPr>
        <w:pStyle w:val="Heading1"/>
      </w:pPr>
      <w:r>
        <w:t>附录B 写作与投稿状态</w:t>
      </w:r>
    </w:p>
    <w:p>
      <w:pPr>
        <w:widowControl/>
      </w:pPr>
      <w:r>
        <w: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