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公司披露与规范依据在上市公司评价中承担不同证据角色，但来源分离、提示约束与检索质量的作用容易混淆。本文构建保留文档身份及原文坐标的双源检索增强生成流程，在20家公司2024年年报的60个问题上比较合并检索、双路检索和相同上下文下的来源角色提示，并设置检索简化、来源缺失及同系列服务版本比较。400个计划回答中386个有效输出经两位人员独立核对原文评分。新增实验完成1800个缓存预算配额回放与600个新BM25上下文，120个原配置上下文逐字复现，并补充维度、主题、缺失和运行开销诊断。已观测配对中，双路较合并检索的0至8分公司宏均分提高0.250，95%公司聚类bootstrap区间为[0.167,0.333]；同证据下角色提示增量为−0.008，区间跨0。双路的两类来源同现率从68.3%增至100%，但严格来源定位覆盖均值未提高，法规参考位置覆盖仍有限。质量收益主要出现在法规评分与审计委员会主题，引用及不确定性评分存在明显天花板。结果支持在本任务中区分来源角色的供给价值，同时揭示来源平衡、目标证据定位和回答质量之间不能相互替代。本文保留反向与零增益结果，结论限于探索性样本及所用指标。</w:t>
      </w:r>
    </w:p>
    <w:p>
      <w:pPr>
        <w:widowControl/>
      </w:pPr>
      <w:r>
        <w:t>关键词：检索增强生成；年度报告；法规证据；来源追溯；预算回放；人工评价</w:t>
      </w:r>
    </w:p>
    <w:p>
      <w:pPr>
        <w:pStyle w:val="Heading1"/>
      </w:pPr>
      <w:r>
        <w:t>Abstract</w:t>
      </w:r>
    </w:p>
    <w:p>
      <w:pPr>
        <w:widowControl/>
      </w:pPr>
      <w:r>
        <w:t>Corporate evaluation requires both company disclosures and regulatory evidence, yet the effects of source separation, prompting, and retrieval quality are easily conflated. We develop a traceable dual-source retrieval-augmented generation pipeline and evaluate merged retrieval, dual retrieval, and role-constrained prompting with identical evidence. The study covers 60 questions about 20 companies’ annual reports for 2024. Two reviewers independently assessed 386 valid outputs from 400 planned responses across main comparisons, retrieval ablations, source-removal tests, and a same-family service-version comparison. Additional experiments replay 1,800 cached configurations and execute 60 fresh BM25 queries over 600 context configurations, reproducing all 120 original contexts exactly. On observed pairs, dual retrieval improves the company-macro quality score by 0.250 points on a 0–8 scale, with a company-clustered 95% bootstrap interval of [0.167, 0.333]. Role prompting yields no stable additional benefit. Dual retrieval increases two-source presence from 68.3% to 100%, while average reference-location coverage does not improve and regulatory reference-page coverage remains limited. Quality gains concentrate in the regulation dimension and audit-committee questions; citation and uncertainty scores exhibit substantial ceiling effects. These exploratory results separate source availability from target-evidence coverage and answer quality, exposing both the benefits and limitations of source-aware retrieval organization.</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保利发展分红题则体现角色提示的风险与评分分歧。G3的原文含“□适用 √不适用”到“报告期内未形成并实施”的扩展表述，人员1认为把预案项目不适用推成未实施，给事实0及不确定性1；人员2维持事实2及法规1。这里必须保留分歧，不能把人员1的说明写成全体一致的错误裁定。</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降低事后复核时查找材料的成本，也使错误能定位到解析、检索、上下文组装或生成环节。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较早的第182号令、2023年修订文本和2018年版未作为相应历史版本独立纳入索引[25–27]。按清单日期检查冻结的法规top-10候选，G1合库检索的73条法规候选中有64条晚于报告年度，涉及42/60题；G2双路检索的300条中有156条晚于报告年度，涉及60/60题。日期字段只提示版本时间风险，不单独证明某条规范对具体事项不适用。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后续研究与部署含义</w:t>
      </w:r>
    </w:p>
    <w:p>
      <w:pPr>
        <w:widowControl/>
      </w:pPr>
      <w:r>
        <w:t>现有新增回放和统计诊断已经改善了对系统行为的解释，但尚未提供新的跨模型族、跨年度或多智能体语义质量结果。若进一步比较Agent，应固定总调用或token预算、上下文权限、最大工具步数和停止条件，并设置等调用数的单模型自检对照；否则额外费用与协作机制的作用仍混杂。仅将两个固定检索分支命名为智能体，不会形成这样的证据。</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本文的证据支持这种可审计设计的必要性，但尚不能量化其对真实决策风险或人员工作效率的全部影响。</w:t>
      </w:r>
    </w:p>
    <w:p>
      <w:pPr>
        <w:pStyle w:val="Heading1"/>
      </w:pPr>
      <w:r>
        <w:t>8 结论</w:t>
      </w:r>
    </w:p>
    <w:p>
      <w:pPr>
        <w:widowControl/>
      </w:pPr>
      <w:r>
        <w:t>本文完成年报与法规双源RAG的受控比较，并在原有双人评分基础上新增1800个预算配额回放、严格来源定位诊断、维度与主题分解、评分者尺度检查以及完整样本与缺失敏感性。结果支持当前任务中按来源组织证据的价值：G2相对G1的已观测配对质量分差为正，两类资料缺失都会降分。但相同上下文下来源角色提示没有稳定增益，完整配置未普遍优于简单基线。</w:t>
      </w:r>
    </w:p>
    <w:p>
      <w:pPr>
        <w:widowControl/>
      </w:pPr>
      <w:r>
        <w:t>新增分析同时揭示，来源类型更平衡并不意味着目标证据覆盖全面改善；法规参考位置的可审计定位仍是明显短板，且人员评分在法规尺度与满分维度上存在限制。这些发现将方法结论限定为探索性任务内结果。本文不据此宣称解决法规时点适用、获得跨模型族泛化或验证公司真实治理质量，也不将固定双路流程改称多智能体系统。</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pPr>
      <w:r>
        <w:t>[1] Lewis P, et al. Retrieval-Augmented Generation for Knowledge-Intensive NLP Tasks. NeurIPS 33, 2020: 9459–9474. https://arxiv.org/abs/2005.11401</w:t>
      </w:r>
    </w:p>
    <w:p>
      <w:pPr>
        <w:widowControl/>
      </w:pPr>
      <w:r>
        <w:t>[2] Chen Z, et al. FinQA: A Dataset of Numerical Reasoning over Financial Data. EMNLP, 2021: 3697–3711. https://doi.org/10.18653/v1/2021.emnlp-main.300</w:t>
      </w:r>
    </w:p>
    <w:p>
      <w:pPr>
        <w:widowControl/>
      </w:pPr>
      <w:r>
        <w:t>[3] Zhu F, et al. TAT-QA: A Question Answering Benchmark on a Hybrid of Tabular and Textual Content in Finance. ACL-IJCNLP, 2021: 3277–3287. https://doi.org/10.18653/v1/2021.acl-long.254</w:t>
      </w:r>
    </w:p>
    <w:p>
      <w:pPr>
        <w:widowControl/>
      </w:pPr>
      <w:r>
        <w:t>[4] Choe J, Kim J, Jung W. Hierarchical Retrieval with Evidence Curation for Open-Domain Financial Question Answering on Standardized Documents. Findings of ACL, 2025: 16663–16681. https://doi.org/10.18653/v1/2025.findings-acl.855</w:t>
      </w:r>
    </w:p>
    <w:p>
      <w:pPr>
        <w:widowControl/>
      </w:pPr>
      <w:r>
        <w:t>[5] Siddharth L, Luo J. Retrieval augmented generation using engineering design knowledge. Knowledge-Based Systems 303, 2024: 112410. https://doi.org/10.1016/j.knosys.2024.112410</w:t>
      </w:r>
    </w:p>
    <w:p>
      <w:pPr>
        <w:widowControl/>
      </w:pPr>
      <w:r>
        <w:t>[6] Yang W, Some L, Bain M, Kang B. A comprehensive survey on integrating large language models with knowledge-based methods. Knowledge-Based Systems 318, 2025: 113503. https://doi.org/10.1016/j.knosys.2025.113503</w:t>
      </w:r>
    </w:p>
    <w:p>
      <w:pPr>
        <w:widowControl/>
      </w:pPr>
      <w:r>
        <w:t>[7] Robertson S, Zaragoza H. The Probabilistic Relevance Framework: BM25 and Beyond. Foundations and Trends in Information Retrieval 3(4), 2009: 333–389. https://doi.org/10.1561/1500000019</w:t>
      </w:r>
    </w:p>
    <w:p>
      <w:pPr>
        <w:widowControl/>
      </w:pPr>
      <w:r>
        <w:t>[8] Karpukhin V, et al. Dense Passage Retrieval for Open-Domain Question Answering. EMNLP, 2020: 6769–6781. https://doi.org/10.18653/v1/2020.emnlp-main.550</w:t>
      </w:r>
    </w:p>
    <w:p>
      <w:pPr>
        <w:widowControl/>
      </w:pPr>
      <w:r>
        <w:t>[9] Zhang Y, et al. Qwen3 Embedding: Advancing Text Embedding and Reranking Through Foundation Models. arXiv, 2025. https://arxiv.org/abs/2506.05176</w:t>
      </w:r>
    </w:p>
    <w:p>
      <w:pPr>
        <w:widowControl/>
      </w:pPr>
      <w:r>
        <w:t>[10] Cormack G V, Clarke C L A, Buettcher S. Reciprocal rank fusion outperforms condorcet and individual rank learning methods. SIGIR, 2009: 758–759. https://doi.org/10.1145/1571941.1572114</w:t>
      </w:r>
    </w:p>
    <w:p>
      <w:pPr>
        <w:widowControl/>
      </w:pPr>
      <w:r>
        <w:t>[11] Alier M, García-Peñalvo F J, Casañ M J, Pereira J, Granados A. Closing the acronym gap in educational retrieval with ontology-guided augmentation. Information Sciences 740, 2026: 123181. https://doi.org/10.1016/j.ins.2026.123181</w:t>
      </w:r>
    </w:p>
    <w:p>
      <w:pPr>
        <w:widowControl/>
      </w:pPr>
      <w:r>
        <w:t>[12] Asai A, Wu Z, Wang Y, Sil A, Hajishirzi H. Self-RAG: Learning to Retrieve, Generate, and Critique through Self-Reflection. ICLR, 2024. https://arxiv.org/abs/2310.11511</w:t>
      </w:r>
    </w:p>
    <w:p>
      <w:pPr>
        <w:widowControl/>
      </w:pPr>
      <w:r>
        <w:t>[13] Yan S Q, Gu J C, Zhu Y, Ling Z H. Corrective Retrieval Augmented Generation. arXiv, 2024. https://arxiv.org/abs/2401.15884</w:t>
      </w:r>
    </w:p>
    <w:p>
      <w:pPr>
        <w:widowControl/>
      </w:pPr>
      <w:r>
        <w:t>[14] Jeong S, Baek J, Cho S, Hwang S J, Park J. Adaptive-RAG: Learning to Adapt Retrieval-Augmented Large Language Models through Question Complexity. NAACL, 2024: 7036–7050. https://doi.org/10.18653/v1/2024.naacl-long.389</w:t>
      </w:r>
    </w:p>
    <w:p>
      <w:pPr>
        <w:widowControl/>
      </w:pPr>
      <w:r>
        <w:t>[15] Han W, Xiao X, Li Y, Wang J, Pechenizkiy M, Fang M. Adaptive iterative retrieval for enhanced retrieval-augmented generation. Neurocomputing 666, 2026: 132272. https://doi.org/10.1016/j.neucom.2025.132272</w:t>
      </w:r>
    </w:p>
    <w:p>
      <w:pPr>
        <w:widowControl/>
      </w:pPr>
      <w:r>
        <w:t>[16] Yao S, et al. ReAct: Synergizing Reasoning and Acting in Language Models. ICLR, 2023. https://arxiv.org/abs/2210.03629</w:t>
      </w:r>
    </w:p>
    <w:p>
      <w:pPr>
        <w:widowControl/>
      </w:pPr>
      <w:r>
        <w:t>[17] Li B, Fan S, Zhu S, Wen L. CoLE: A collaborative legal expert prompting framework for large language models in law. Knowledge-Based Systems 311, 2025: 113052. https://doi.org/10.1016/j.knosys.2025.113052</w:t>
      </w:r>
    </w:p>
    <w:p>
      <w:pPr>
        <w:widowControl/>
      </w:pPr>
      <w:r>
        <w:t>[18] Wang H, et al. Learning to break: Knowledge-enhanced reasoning in multi-agent debate system. Neurocomputing 618, 2025: 129063. https://doi.org/10.1016/j.neucom.2024.129063</w:t>
      </w:r>
    </w:p>
    <w:p>
      <w:pPr>
        <w:widowControl/>
      </w:pPr>
      <w:r>
        <w:t>[19] Gao T, Yen H, Yu J, Chen D. Enabling Large Language Models to Generate Text with Citations. EMNLP, 2023: 6465–6488. https://doi.org/10.18653/v1/2023.emnlp-main.398</w:t>
      </w:r>
    </w:p>
    <w:p>
      <w:pPr>
        <w:widowControl/>
      </w:pPr>
      <w:r>
        <w:t>[20] Es S, James J, Espinosa Anke L, Schockaert S. RAGAs: Automated Evaluation of Retrieval Augmented Generation. EACL System Demonstrations, 2024: 150–158. https://doi.org/10.18653/v1/2024.eacl-demo.16</w:t>
      </w:r>
    </w:p>
    <w:p>
      <w:pPr>
        <w:widowControl/>
      </w:pPr>
      <w:r>
        <w:t>[21] Ru D, et al. RAGChecker: A Fine-grained Framework for Diagnosing Retrieval-Augmented Generation. NeurIPS Datasets and Benchmarks, 2024. https://arxiv.org/abs/2408.08067</w:t>
      </w:r>
    </w:p>
    <w:p>
      <w:pPr>
        <w:widowControl/>
      </w:pPr>
      <w:r>
        <w:t>[22] Pipitone N, Alami G H. LegalBench-RAG: A Benchmark for Retrieval-Augmented Generation in the Legal Domain. arXiv, 2024. https://arxiv.org/abs/2408.10343</w:t>
      </w:r>
    </w:p>
    <w:p>
      <w:pPr>
        <w:widowControl/>
      </w:pPr>
      <w:r>
        <w:t>[23] Liu N F, et al. Lost in the Middle: How Language Models Use Long Contexts. TACL 12, 2024: 157–173. https://doi.org/10.1162/tacl_a_00638</w:t>
      </w:r>
    </w:p>
    <w:p>
      <w:pPr>
        <w:widowControl/>
      </w:pPr>
      <w:r>
        <w:t>[24] Kimi. 模型配置. 服务别名说明；底层revision未核实，核对日期2026-10-20。 https://www.kimi.com/help/kimi-code/models</w:t>
      </w:r>
    </w:p>
    <w:p>
      <w:pPr>
        <w:widowControl/>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pPr>
      <w:r>
        <w:t>[26] 中国证监会. 第62号公告《关于修改〈上市公司章程指引〉的决定》（2023）及第6号公告《上市公司章程指引》（2025）。 https://www.csrc.gov.cn/csrc/c101954/c7449659/content.shtml; https://www.csrc.gov.cn/csrc/c101954/c7547791/content.shtml</w:t>
      </w:r>
    </w:p>
    <w:p>
      <w:pPr>
        <w:widowControl/>
      </w:pPr>
      <w:r>
        <w:t>[27] 中国证监会. 第29号公告《上市公司治理准则》（2018）及第18号公告《上市公司治理准则》（2025）。 https://www.csrc.gov.cn/csrc/c101864/c1024585/content.shtml; https://www.csrc.gov.cn/csrc/c101954/c7589726/content.shtml</w:t>
      </w:r>
    </w:p>
    <w:p>
      <w:pPr>
        <w:widowControl/>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pPr>
      <w:r>
        <w:t>[29] Zhu T, Liu M, Kurfali M. CFQA: A Chinese Financial Question Answering Benchmark from Corporate Annual Reports. Proceedings of the 7th Financial Narrative Processing Workshop, 2026: 28–38. https://doi.org/10.63317/4e6fhrncfrbu</w:t>
      </w:r>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研究长稿，含英文题名与摘要。作者、单位、基金、利益冲突、CRediT与AI辅助写作披露须按真实情况补齐。采用可编辑单栏版式，不复制期刊刊头；分区及录用取决于贡献与评审，篇幅和图表数量不能保证接收。</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