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r>
        <ns0:t xml:space="preserve"> 按报告年度分层（每年4题，均来自相同4家公司），勘误后参考下2023年Qwen/K3的成员宏F1为0.663/1.000、日期宏F1为0.672/1.000、会议次数精确匹配2/4与4/4、三字段全匹配1/4与4/4；2024年相应为0.638/0.949、0.528/0.906、1/4与4/4、0/4与2/4。两年度Qwen/K3的严格结构合规和引用列表合规均为0/4与4/4；Qwen引用列表中机械解析到的格式异常字符串项分别为31和35（不含标量引用值）。每年仅4题且为相同公司，故此为描述性分层，不是独立时间迁移验证，也不作显著性推断。</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r>
        <ns0:t>同一8题的既有K3输出还允许对两轮检索规划Agent与三轮固定证据修订进行事后对照。两方法从相同初始证据出发，但Agent改变最终证据；各有1题在不同问题上失败，仅6题形成双方均成功的配对，覆盖4家公司。按勘误后助手提取参考，Agent与固定证据修订的成员宏F1分别为0.833和0.985，日期宏F1为0.786和0.952，三个字段均精确匹配分别为4/6和5/6（图10）。6对中两者各记录18次调用，供应商报告总token分别为102600和97441；调用数相同不意味着计算、输出或上下文预算一致。对全部8题，按未观察三字段匹配值在[0,1]取界并保留可用单侧结果，勘误参考下Agent减修订的均差范围为[-0.375,-0.125]；原冻结参考下范围为[-0.250,0]。这些是对既有输出的条件性和有界敏感性分析，参考未独立裁定、样本小且纠错发生于看过先前输出之后，不能据此断言Agent普遍无效、归因于检索策略或验证引用语义。未新增模型调用或人工标注。</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图10 Agent与三轮固定证据修订的6个可用配对。两题因不同条件失败而未配对；字段匹配不验证语义引用支持。</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r>
        <ns0:t>复算脚本scripts/reanalyze_saved_agent_pairs_20261029.py及结果results/runs/agent_pairs_reanalysis_20261029_01/agent_pair_comparison.json记录既有Agent和固定证据修订的来源、失败、配对及敏感性界。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完整跨年度与Agent扩展材料保留在原合并扩展稿中；本稿仅补充探索性小样本，不计入主实验主要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