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冻结索引收录第182号令官方PDF的22页，且该文档不在冻结排除清单中；冻结候选表未检出该文档。2018年版治理准则未见于按文档标题和标识检查的索引条目，但不能据此排除其以其他形式包含在其他来源中。DOC343文本同时包含2023年修改决定及随后重新公布的章程指引全文；冻结方案排除文本版DOC343，但收录对应官方PDF（OFFICIAL-DOC343，59页）。G2的冻结top-10中有7题检出该PDF物理第2页，均属修改决定部分；该计数不验证语义支持或具体时点适用[25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r>
        <ns0:t>补充开展跨模型族、跨年度的小样本探索：对四家公司2023、2024年报的8个既有问题，Qwen3-0.6B（本地固定权重、FP16 GPU）与此前K3服务别名单次回答使用相同的保存用户提示和初始证据，均获得8条非空输出。以已有助手提取、非独立裁定的勘误后参考为准，Qwen与K3的成员宏F1分别为0.651和0.975，日期宏F1分别为0.600和0.953，会议次数精确匹配分别为3/8和8/8；严格输出结构合规分别为0/8和8/8（图9）。字段F1即使在结构不合规时也计算，不能视为格式或引用支持准确率。原冻结参考下成员宏F1分别为0.653和0.989；勘误发生在已有K3输出之后。该补充为事后分析、每题每模型一次生成，样本只有4家公司；Qwen采样温度0.7、最多2048生成token，K3温度1、最多8192输出token，模型规模、计算和输出预算不同，K3底层版本未独立核实，因而不能归因于模型族或声称跨年度普遍泛化，也不能证明法规适用或语义引用支持。</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图9 探索性跨模型对照。基于8题既有助手提取参考的字段匹配与结构检查；不同模型规模、预算和未独立验证的参考限制了解释。</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文主实验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r>
        <ns0:t>跨模型补充运行的固定提示、模型版本、逐题输出及评分结果保存在项目材料中；Qwen运行目录为results/runs/qwen_cuda_cross_model_20261029_01，复算摘要为results/runs/qwen_cuda_cross_model_score_20261029_04/summary.json，对应脚本为scripts/run_qwen_cuda_cross_model_20261029.py和scripts/score_qwen_cross_model_20261029.py。两版既有参考及其来源均保留，未新增人工标注。</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