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补充材料 年报与法规双源RAG的评分量表与检索诊断</w:t>
      </w:r>
    </w:p>
    <w:p>
      <w:pPr/>
      <w:r>
        <w:t>本补充材料报告回答质量评分量表、主文引用的候选预算回放与BM25定位粒度对照。评分量表在查看输出可用性和部分回答后制定，属于探索性描述评分，并非预注册的H1/H2检验。检索诊断复用已保存排序或执行检索，不调用生成模型、不新增答案评分或人工相关性标注；这些结果仅用于说明证据供给与定位边界，不构成回答准确率、检索Precision/Recall或法规历史时点适用性验证。法规文献编号沿用主文参考文献。</w:t>
      </w:r>
    </w:p>
    <w:p>
      <w:pPr>
        <w:pStyle w:val="Heading2"/>
      </w:pPr>
      <w:r>
        <w:t>补充材料 S0 回答质量评分量表</w:t>
      </w:r>
    </w:p>
    <w:p>
      <w:r>
        <w:t>两名评分人员分别按四个维度对每条实际回答给出0、1、2或U。以下判据直接对应原评分包中的评分表，不对已有评分重新赋值。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512"/>
            <w:shd w:fill="D9E2F3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  <w:sz w:val="18"/>
              </w:rPr>
              <w:t>0分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  <w:sz w:val="18"/>
              </w:rPr>
              <w:t>1分</w:t>
            </w:r>
          </w:p>
        </w:tc>
        <w:tc>
          <w:tcPr>
            <w:tcW w:type="dxa" w:w="2952"/>
            <w:shd w:fill="D9E2F3"/>
          </w:tcPr>
          <w:p>
            <w:r>
              <w:rPr>
                <w:b/>
                <w:sz w:val="18"/>
              </w:rPr>
              <w:t>2分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公司事实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关键公司、数字、成员、日期或报告类型错误，捏造事实；上下文足以回答却完全无理由拒答。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事实总体可靠但主要要点遗漏或表述不够完整；不把输入缺失直接认作公司事项不存在。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准确覆盖本题主要公司要点，区分报告期和期后事项；原金标认定材料不足时，准确说明缺口且不编造亦可得2分。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法规依据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关键规范误引或误读，或要求法规依据却仅以公司披露替代且未说明不足。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有相关规范但关键要求遗漏、适用范围或版本限制说明不充分。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主要规范要求准确、有对应原文；适用性可证时正确说明，未知时明确限定；允许经原文核实的其他有效依据。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引用支持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关键引文不存在、与论断相反、张冠李戴或实质内容完全没有依据；只有编号存在不得给分。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部分引文支持但重要陈述缺引用、来源角色遗漏或位置不够精确，未达到整体充分支持。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实质陈述均可由所引原文支持，年报与法规按需引用，来源和页/条可追溯；明确材料不足的合理保留不强迫编造引用。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不确定性处理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把自评当外部鉴证、财报审计当内控专项、拟议当已实施，或无依据认定不存在/合规/违规。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有保留说明但关键边界或限制遗漏；未出现决定性的无据确定判断。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40" w:lineRule="auto"/>
            </w:pPr>
            <w:r>
              <w:rPr>
                <w:sz w:val="17"/>
              </w:rPr>
              <w:t>遵守该题最终裁定限制；区分自评/审计、实施/预案、事实/规范，不把未知推成不存在或全面合规。</w:t>
            </w:r>
          </w:p>
        </w:tc>
      </w:tr>
    </w:tbl>
    <w:p>
      <w:pPr>
        <w:spacing w:before="80"/>
      </w:pPr>
      <w:r>
        <w:rPr>
          <w:b/>
        </w:rPr>
        <w:t>计分与未知值。</w:t>
      </w:r>
      <w:r>
        <w:t xml:space="preserve"> U表示评分人员无法确定，需说明原因；U不是0分。只有两位人员对四个维度均给出数值时，才计算双方分数总和的一半作为0–8分回答得分。失败或未运行的请求不计质量0分。该回答评分不等同于治理评分、合规准确率或检索相关性指标。</w:t>
      </w:r>
    </w:p>
    <w:p>
      <w:pPr>
        <w:pStyle w:val="Heading2"/>
      </w:pPr>
      <w:r>
        <w:t>补充材料 S1 预算配额回放与证据供给</w:t>
      </w:r>
    </w:p>
    <w:p>
      <w:pPr>
        <w:widowControl/>
      </w:pPr>
      <w:r>
        <w:t>1800个上下文覆盖五个token上限和三个候选配额，使用与历史相同的候选顺序。原配置120/120逐字复现，说明后续变化来自本轮指定的候选截取与组装，而不是另一个实现。预算增加允许更多整片段进入，但如果目标原文不在保存候选中，仅增加上下文长度不能恢复它。</w:t>
      </w:r>
    </w:p>
    <w:p>
      <w:pPr>
        <w:widowControl/>
      </w:pPr>
      <w:r>
        <w:t>在原6000配置中，G2十个候选全部装入，最终法规目标位置仍在53/60题缺失；G1在60/60题中都没有严格命中法规参考位置。因此，至少对这些目标来源—页面键而言，主要差距发生在候选选择阶段，而非默认G2的token组装阶段。若另有等价文本来源获检索，此指标不会计入，需通过独立语义对齐确认。</w:t>
      </w:r>
    </w:p>
    <w:p>
      <w:pPr>
        <w:widowControl/>
      </w:pPr>
      <w:r>
        <w:t>这项实验不重新搜索候选池之外的片段，也不生成1800条答案。它能验证同一保存排序的预算敏感性，不能说明改变top-k后重新执行神经检索或重排的端到端效果。高预算回放中的质量推断应停留在证据供给层面；任何回答质量收益仍需要实际生成与独立评分。 预算回放结果见补充表S1和补充图S1。</w:t>
      </w:r>
      <w:r>
        <w:t/>
      </w:r>
    </w:p>
    <w:p>
      <w:pPr>
        <w:pStyle w:val="Caption"/>
        <w:keepNext/>
        <w:widowControl/>
      </w:pPr>
      <w:r>
        <w:t>补充表S1 预算回放 总候选上限10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1"/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参考上限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保留片段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实际tokens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双角色出现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t>角色宏定位覆盖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3.77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953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18.5%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6.18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1905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27.4%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3448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37.4%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4032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39.1%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8000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4032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39.1%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2.73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868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53.3%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18.5%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4.47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1875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56.7%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29.1%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7.55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3726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37.3%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9.37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4945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68.3%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39.8%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8000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5407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40.7%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17026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budget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70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补充图S1 新增预算敏感性，总候选上限10。曲线为缓存候选回放，不包含重检索、生成或新人工评分。</w:t>
      </w:r>
    </w:p>
    <w:p>
      <w:pPr>
        <w:pStyle w:val="Heading2"/>
      </w:pPr>
      <w:r>
        <w:t>补充材料 S2 BM25基线与定位粒度敏感性</w:t>
      </w:r>
    </w:p>
    <w:p>
      <w:pPr>
        <w:widowControl/>
      </w:pPr>
      <w:r>
        <w:t>为避免只对已有结果重画图，本文新增运行同范围的CPU BM25检索。使用项目原BM25与jieba实现，k1=1.5、b=0.75；IDF在完整19367片段上拟合，与原混合检索组件一致。返回候选仍排除335个旧版本片段，只在19032个合格片段中选择，年报按公司与年度约束。公开问题直接用作查询，排名ID在读取参考答案之前落盘，防止以参考引文构造有利查询。</w:t>
      </w:r>
    </w:p>
    <w:p>
      <w:pPr>
        <w:widowControl/>
      </w:pPr>
      <w:r>
        <w:t>60条问题均完成merged与dual两种检索，每个排序在五种预算下组装，产生600个新上下文。此处是新执行的稀疏检索，不是缓存神经排序的再截取；同样没有调用生成器，因此不能拿它替代先前人工评分的BM25生成条件，也不能把两套BM25条件的数据直接拼成一次端到端实验。 排名和预算回放的来源定位结果见补充表S2。</w:t>
      </w:r>
      <w:r>
        <w:t/>
      </w:r>
    </w:p>
    <w:p>
      <w:pPr>
        <w:pStyle w:val="Caption"/>
        <w:keepNext/>
        <w:widowControl/>
      </w:pPr>
      <w:r>
        <w:t>补充表S2 新BM25与缓存混合重排在6000上限的来源定位代理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1"/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检索来源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A定位覆盖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R定位覆盖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双参考角色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实际tokens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74.3%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3.9%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4032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79.7%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4945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69.0%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33.3%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33.3%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5319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73.0%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30.0%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28.3%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5381</w:t>
            </w:r>
          </w:p>
        </w:tc>
      </w:tr>
    </w:tbl>
    <w:p>
      <w:pPr>
        <w:widowControl/>
      </w:pPr>
      <w:r>
        <w:t>表面上，新BM25的法规位置覆盖达到30.00%和33.33%，高于缓存混合重排。但逐粒度拆分后，这一改善完全来自整份TXT来源匹配：内控20题中，BM25合并和双路分别命中18/20和20/20个来源；而在40个PDF法规参考问题上，两个BM25策略的页级覆盖均为0，缓存双路为5.83%。因此，汇总代理的提高主要反映定位粒度与文档身份，不是BM25已经实现更精确的法律段落检索。</w:t>
      </w:r>
    </w:p>
    <w:p>
      <w:pPr>
        <w:widowControl/>
      </w:pPr>
      <w:r>
        <w:t>这一敏感性实验说明，在混合文档形态的RAG评测中，页级与源文件级标注不能无说明地放在一个“检索准确率”中。整份法规文件被检索到，比没有该文件更有利，但不保证返回片段位于相关条文，也不能证明适用版本正确。对于来源单位不同的指标，应保持拆分结果，以免系统因命中较粗的标签而显得更优。 法规页级和文件级定位结果分列于补充表S3。</w:t>
      </w:r>
      <w:r>
        <w:t/>
      </w:r>
    </w:p>
    <w:p>
      <w:pPr>
        <w:pStyle w:val="Caption"/>
        <w:keepNext/>
        <w:widowControl/>
      </w:pPr>
      <w:r>
        <w:t>补充表S3 法规定位粒度拆分（PDF页级：40题、120个目标定位；TXT来源：20题；分母不同，不直接比较）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1"/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PDF页级覆盖</w:t>
              <w:br/>
              <w:t>n=120个定位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0F0F0"/>
          </w:tcPr>
          <w:p>
            <w:pPr>
              <w:keepNext/>
              <w:spacing w:after="40" w:before="40" w:line="252" w:lineRule="auto"/>
            </w:pPr>
            <w:r>
              <w:rPr>
                <w:b/>
                <w:color w:val="000000"/>
                <w:sz w:val="18"/>
              </w:rPr>
              <w:t>TXT来源命中</w:t>
              <w:br/>
              <w:t>n=20题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 / 20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缓存混合重排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5.83%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 / 20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merged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18 / 20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新BM25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dual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 / 20</w:t>
            </w:r>
          </w:p>
        </w:tc>
      </w:tr>
    </w:tbl>
    <w:p>
      <w:pPr>
        <w:widowControl/>
      </w:pPr>
      <w:r>
        <w:t>作为替代来源敏感性补充，去除来源身份限制后的法规参考引文12字符词面覆盖，在缓存G1/G2中分别为0.59%与11.88%；G2有33题虽然严格参考位置未命中，但在其他来源或页面出现部分参考措辞。例如规范复述、修订决定与正文重复，都可能导致这种现象。词面重叠不证明法规等价、版本相同或具体论断受支持，因此它只提示严格定位可能漏计替代材料，不能把两种指标加总成语义正确率。</w:t>
      </w:r>
    </w:p>
    <w:p>
      <w:pPr>
        <w:widowControl/>
      </w:pPr>
      <w:r>
        <w:t>本次对照仍受组件条件限制：缓存混合结果来自已保存神经候选，而新BM25重新执行稀疏检索；没有同时重跑完整神经链。已有模型revision与原始查询保持记录，供未来在相同机器和同次执行中复核。当前实验的作用是揭示指标、定位粒度与来源供给的关系，不据此宣称一种完整系统胜出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hyperlink" Target="https://static.cninfo.com.cn/finalpage/2024-07-24/122071176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年报与法规双源检索增强生成的受控评价与证据覆盖分析</dc:title>
  <dc:subject>大幅扩展研究稿 真实回放实验与评分诊断 2026年10月23日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