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20,000次公司聚类bootstrap点对点95%区间[0.110, 0.355]），但全60题的缺失数据界跨0。G3相较G2在38个配对问题上的差为0.013（区间[0.000, 0.039]）。双路检索使两类来源同现率由68.3%升至100%，但平均参考位置覆盖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dual retrieval exceeds pooled retrieval by 0.228 points on a company-macro 0–8 scale (20,000-draw company-clustered pointwise 95% interval: [0.110, 0.355]); however, the missing-outcome bounds for all 60 questions include zero. Source-role prompting adds 0.013 points on 38 observed pairs (interval: [0.000, 0.039]). Dual retrieval increases two-source presence from 68.3% to 100%, while mean reference-location coverage does not improve and regulatory reference coverage remains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各条件可用输出数与回答级双人均分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w:t>
      </w:r>
    </w:p>
    <w:p>
      <w:pPr>
        <w:pStyle w:val="Caption"/>
        <w:keepNext/>
        <w:widowControl/>
      </w:pPr>
      <w:r>
        <w:t>表7 主比较与检索基线对照的公司宏差值及点对点95%区间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点对点95%公司聚类区间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[-0.310,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28"/>
                    <a:stretch>
                      <a:fillRect/>
                    </a:stretch>
                  </pic:blipFill>
                  <pic:spPr>
                    <a:xfrm>
                      <a:off x="0" y="0"/>
                      <a:ext cx="5868000" cy="3520800"/>
                    </a:xfrm>
                    <a:prstGeom prst="rect"/>
                  </pic:spPr>
                </pic:pic>
              </a:graphicData>
            </a:graphic>
          </wp: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29"/>
                    <a:stretch>
                      <a:fillRect/>
                    </a:stretch>
                  </pic:blipFill>
                  <pic:spPr>
                    <a:xfrm>
                      <a:off x="0" y="0"/>
                      <a:ext cx="5868000" cy="2302136"/>
                    </a:xfrm>
                    <a:prstGeom prst="rect"/>
                  </pic:spPr>
                </pic:pic>
              </a:graphicData>
            </a:graphic>
          </wp: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30"/>
                    <a:stretch>
                      <a:fillRect/>
                    </a:stretch>
                  </pic:blipFill>
                  <pic:spPr>
                    <a:xfrm>
                      <a:off x="0" y="0"/>
                      <a:ext cx="5868000" cy="2646252"/>
                    </a:xfrm>
                    <a:prstGeom prst="rect"/>
                  </pic:spPr>
                </pic:pic>
              </a:graphicData>
            </a:graphic>
          </wp: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31"/>
                    <a:stretch>
                      <a:fillRect/>
                    </a:stretch>
                  </pic:blipFill>
                  <pic:spPr>
                    <a:xfrm>
                      <a:off x="0" y="0"/>
                      <a:ext cx="5868000" cy="3597001"/>
                    </a:xfrm>
                    <a:prstGeom prst="rect"/>
                  </pic:spPr>
                </pic:pic>
              </a:graphicData>
            </a:graphic>
          </wp: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一、年报披露（有原文支持）：1. 人员构成：立讯精密2024年报披露，审计委员会成员为刘中华、宋宇红、侯玲玲、张英，共4人；报告期内召开会议4次 [A1]。年报另披露公司董事会共7名董事，其中独立董事3名（法律、会计等领域专家），董事会下设审计委员会、战略委员会、提名委员会、薪酬与考核委员会4个专门委员会，称‘成员组成结构合理’ [A4]，但未逐一说明审计委员会各成员的董事类别及召集人身份……</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A1,A4,R1,R2,R3,R4,R5</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