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20,000次公司聚类bootstrap点对点95%区间[0.110, 0.355]），但全60题的缺失数据界跨0。G3相较G2在38个配对问题上的差为0.013（区间[0.000, 0.039]）。双路检索使两类来源同现率由68.3%升至100%，但平均参考位置覆盖未提高，法规参考位置覆盖仍有限。观察到的总分差异主要集中在法规评分维度；引用及不确定性维度存在天花板。结果仅适用于本研究样本、模型和评分协议。</w:t>
      </w:r>
    </w:p>
    <w:p>
      <w:pPr>
        <w:widowControl/>
      </w:pPr>
      <w:r>
        <w:t>关键词：检索增强生成；年度报告；法规证据；来源追溯；预算回放；人工评价</w:t>
      </w:r>
    </w:p>
    <w:p>
      <w:pPr>
        <w:pStyle w:val="Heading1"/>
      </w:pPr>
      <w:r>
        <w:t>Abstract</w:t>
      </w:r>
    </w:p>
    <w:p>
      <w:pPr>
        <w:widowControl/>
      </w:pPr>
      <w:r>
        <w:t>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dual retrieval exceeds pooled retrieval by 0.228 points on a company-macro 0–8 scale (20,000-draw company-clustered pointwise 95% interval: [0.110, 0.355]); however, the missing-outcome bounds for all 60 questions include zero. Source-role prompting adds 0.013 points on 38 observed pairs (interval: [0.000, 0.039]). Dual retrieval increases two-source presence from 68.3% to 100%, while mean reference-location coverage does not improve and regulatory reference coverage remains limited. The observed score difference is concentrated in the regulation dimension; citation and uncertainty ratings show ceiling effects. These findings are limited to the sampled companies, model configuration, observed pairs, and rating protocol.</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w:t>
      </w:r>
    </w:p>
    <w:p>
      <w:pPr>
        <w:widowControl/>
      </w:pPr>
      <w:r>
        <w: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w:t>
      </w:r>
    </w:p>
    <w:p>
      <w:pPr>
        <w:widowControl/>
      </w:pPr>
      <w:r>
        <w: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w:t>
      </w:r>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全条件供应商输出评分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2840个0/1/2评分值；33条会话补充输出不纳入，其中31条曾进入旧版评分汇总</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r>
        <w:t xml:space="preserve"> 实际比较条件与分析范围见表5，变量隔离示意见图3。</w:t>
      </w:r>
    </w:p>
    <w:p>
      <w:pPr>
        <w:pStyle w:val="Caption"/>
        <w:keepNext/>
        <w:widowControl/>
      </w:pPr>
      <w:r>
        <w:t>表5 主文与补充分析范围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主文 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G1/G2/G3；仅计冻结供应商调用输出</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供应商输出评分与稳健性诊断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355输出 / 400计划单元</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排除33条会话补充回答；355条供应商输出由两人评分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BM25重跑</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w:t>
      </w:r>
    </w:p>
    <w:p>
      <w:pPr>
        <w:pStyle w:val="Heading2"/>
      </w:pPr>
      <w:r>
        <w:t>4.4 双人评分与可测量内容</w:t>
      </w:r>
    </w:p>
    <w:p>
      <w:pPr>
        <w:widowControl/>
      </w:pPr>
      <w:r>
        <w: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来源供给与检索诊断</w:t>
      </w:r>
    </w:p>
    <w:p>
      <w:pPr>
        <w:widowControl/>
      </w:pPr>
      <w:r>
        <w: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w:t>
      </w:r>
    </w:p>
    <w:p>
      <w:pPr>
        <w:pStyle w:val="Heading1"/>
      </w:pPr>
      <w:r>
        <w:t>5 主实验与评分诊断</w:t>
      </w:r>
    </w:p>
    <w:p>
      <w:pPr>
        <w:pStyle w:val="Heading2"/>
      </w:pPr>
      <w:r>
        <w:t>5.1 运行覆盖与质量分布</w:t>
      </w:r>
    </w:p>
    <w:p>
      <w:pPr>
        <w:widowControl/>
      </w:pPr>
      <w:r>
        <w: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w:t>
      </w:r>
    </w:p>
    <w:p>
      <w:pPr>
        <w:pStyle w:val="Caption"/>
        <w:keepNext/>
        <w:widowControl/>
      </w:pPr>
      <w:r>
        <w:t>表6 各条件可用输出数与回答级双人均分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52/60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7.327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7.577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7.077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47/60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7.543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7.277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48/60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7.594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7.354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rPr>
          <w:rFonts w:ascii="Microsoft YaHei" w:hAnsi="Microsoft YaHei" w:eastAsia="Microsoft YaHei"/>
        </w:rPr>
        <w:t>5.2 双路检索与角色提示的增量</w:t>
      </w:r>
    </w:p>
    <w:p>
      <w:pPr>
        <w:widowControl/>
      </w:pPr>
      <w:r>
        <w: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w:t>
      </w:r>
    </w:p>
    <w:p>
      <w:pPr>
        <w:pStyle w:val="Caption"/>
        <w:keepNext/>
        <w:widowControl/>
      </w:pPr>
      <w:r>
        <w:t>表7 主比较与检索基线对照的公司宏差值及点对点95%区间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点对点95%公司聚类区间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41/60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[0.110, 0.355]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38/60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0.013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[0.000, 0.039]</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42/60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0.289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[0.158, 0.430]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[-0.310, -0.130]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-0.245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[-0.343, -0.157]</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28"/>
                    <a:stretch>
                      <a:fillRect/>
                    </a:stretch>
                  </pic:blipFill>
                  <pic:spPr>
                    <a:xfrm>
                      <a:off x="0" y="0"/>
                      <a:ext cx="5868000" cy="3520800"/>
                    </a:xfrm>
                    <a:prstGeom prst="rect"/>
                  </pic:spPr>
                </pic:pic>
              </a:graphicData>
            </a:graphic>
          </wp:inline>
        </w:drawing>
      </w:r>
    </w:p>
    <w:p>
      <w:pPr>
        <w:pStyle w:val="Caption"/>
        <w:widowControl/>
      </w:pPr>
      <w:r>
        <w:t>图4 三个主条件的供应商输出评分与评分者差异。均值及点对点95%区间仅基于各条件可用输出，区间按公司聚类。</w:t>
      </w:r>
    </w:p>
    <w:p>
      <w:pPr>
        <w:pStyle w:val="Heading2"/>
      </w:pPr>
      <w:r>
        <w:t>5.3 逐维度分析</w:t>
      </w:r>
    </w:p>
    <w:p>
      <w:pPr>
        <w:widowControl/>
      </w:pPr>
      <w:r>
        <w: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c>
          <w:tcPr>
            <w:tcW w:type="dxa" w:w="1361"/>
          </w:tcPr>
          <w:p>
            <w:r>
              <w:t>G2-G1</w:t>
            </w:r>
          </w:p>
        </w:tc>
        <w:tc>
          <w:tcPr>
            <w:tcW w:type="dxa" w:w="1361"/>
          </w:tcPr>
          <w:p>
            <w:r>
              <w:t>41</w:t>
            </w:r>
          </w:p>
        </w:tc>
        <w:tc>
          <w:tcPr>
            <w:tcW w:type="dxa" w:w="1361"/>
          </w:tcPr>
          <w:p>
            <w:r>
              <w:t>-0.009</w:t>
            </w:r>
          </w:p>
        </w:tc>
        <w:tc>
          <w:tcPr>
            <w:tcW w:type="dxa" w:w="1361"/>
          </w:tcPr>
          <w:p>
            <w:r>
              <w:t>0.237</w:t>
            </w:r>
          </w:p>
        </w:tc>
        <w:tc>
          <w:tcPr>
            <w:tcW w:type="dxa" w:w="1361"/>
          </w:tcPr>
          <w:p>
            <w:r>
              <w:t>0.000</w:t>
            </w:r>
          </w:p>
        </w:tc>
        <w:tc>
          <w:tcPr>
            <w:tcW w:type="dxa" w:w="1361"/>
          </w:tcPr>
          <w:p>
            <w:r>
              <w:t>0.000</w:t>
            </w:r>
          </w:p>
        </w:tc>
        <w:tc>
          <w:tcPr>
            <w:tcW w:type="dxa" w:w="1361"/>
          </w:tcPr>
          <w:p>
            <w:r>
              <w:t>0.228</w:t>
            </w:r>
          </w:p>
        </w:tc>
      </w:tr>
      <w:tr>
        <w:tc>
          <w:tcPr>
            <w:tcW w:type="dxa" w:w="1361"/>
          </w:tcPr>
          <w:p>
            <w:r>
              <w:t>G3-G2</w:t>
            </w:r>
          </w:p>
        </w:tc>
        <w:tc>
          <w:tcPr>
            <w:tcW w:type="dxa" w:w="1361"/>
          </w:tcPr>
          <w:p>
            <w:r>
              <w:t>38</w:t>
            </w:r>
          </w:p>
        </w:tc>
        <w:tc>
          <w:tcPr>
            <w:tcW w:type="dxa" w:w="1361"/>
          </w:tcPr>
          <w:p>
            <w:r>
              <w:t>0.000</w:t>
            </w:r>
          </w:p>
        </w:tc>
        <w:tc>
          <w:tcPr>
            <w:tcW w:type="dxa" w:w="1361"/>
          </w:tcPr>
          <w:p>
            <w:r>
              <w:t>0.000</w:t>
            </w:r>
          </w:p>
        </w:tc>
        <w:tc>
          <w:tcPr>
            <w:tcW w:type="dxa" w:w="1361"/>
          </w:tcPr>
          <w:p>
            <w:r>
              <w:t>0.013</w:t>
            </w:r>
          </w:p>
        </w:tc>
        <w:tc>
          <w:tcPr>
            <w:tcW w:type="dxa" w:w="1361"/>
          </w:tcPr>
          <w:p>
            <w:r>
              <w:t>0.000</w:t>
            </w:r>
          </w:p>
        </w:tc>
        <w:tc>
          <w:tcPr>
            <w:tcW w:type="dxa" w:w="1361"/>
          </w:tcPr>
          <w:p>
            <w:r>
              <w:t>0.013</w:t>
            </w:r>
          </w:p>
        </w:tc>
      </w:tr>
      <w:tr>
        <w:tc>
          <w:tcPr>
            <w:tcW w:type="dxa" w:w="1361"/>
          </w:tcPr>
          <w:p>
            <w:r>
              <w:t>G3-G1</w:t>
            </w:r>
          </w:p>
        </w:tc>
        <w:tc>
          <w:tcPr>
            <w:tcW w:type="dxa" w:w="1361"/>
          </w:tcPr>
          <w:p>
            <w:r>
              <w:t>42</w:t>
            </w:r>
          </w:p>
        </w:tc>
        <w:tc>
          <w:tcPr>
            <w:tcW w:type="dxa" w:w="1361"/>
          </w:tcPr>
          <w:p>
            <w:r>
              <w:t>-0.009</w:t>
            </w:r>
          </w:p>
        </w:tc>
        <w:tc>
          <w:tcPr>
            <w:tcW w:type="dxa" w:w="1361"/>
          </w:tcPr>
          <w:p>
            <w:r>
              <w:t>0.285</w:t>
            </w:r>
          </w:p>
        </w:tc>
        <w:tc>
          <w:tcPr>
            <w:tcW w:type="dxa" w:w="1361"/>
          </w:tcPr>
          <w:p>
            <w:r>
              <w:t>0.013</w:t>
            </w:r>
          </w:p>
        </w:tc>
        <w:tc>
          <w:tcPr>
            <w:tcW w:type="dxa" w:w="1361"/>
          </w:tcPr>
          <w:p>
            <w:r>
              <w:t>0.000</w:t>
            </w:r>
          </w:p>
        </w:tc>
        <w:tc>
          <w:tcPr>
            <w:tcW w:type="dxa" w:w="1361"/>
          </w:tcPr>
          <w:p>
            <w:r>
              <w:t>0.289</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29"/>
                    <a:stretch>
                      <a:fillRect/>
                    </a:stretch>
                  </pic:blipFill>
                  <pic:spPr>
                    <a:xfrm>
                      <a:off x="0" y="0"/>
                      <a:ext cx="5868000" cy="2302136"/>
                    </a:xfrm>
                    <a:prstGeom prst="rect"/>
                  </pic:spPr>
                </pic:pic>
              </a:graphicData>
            </a:graphic>
          </wp:inline>
        </w:drawing>
      </w:r>
    </w:p>
    <w:p>
      <w:pPr>
        <w:pStyle w:val="Caption"/>
        <w:widowControl/>
      </w:pPr>
      <w:r>
        <w:t>图5 主比较的公司宏维度配对差。区间为20,000次公司聚类bootstrap点对点95%区间；仅包括已观察配对，不作多重比较校正。</w:t>
      </w:r>
    </w:p>
    <w:p>
      <w:pPr>
        <w:pStyle w:val="Heading2"/>
      </w:pPr>
      <w:r>
        <w:t>5.4 评分者差异与量表天花板</w:t>
      </w:r>
    </w:p>
    <w:p>
      <w:pPr>
        <w:widowControl/>
      </w:pPr>
      <w:r>
        <w: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w:t>
      </w:r>
    </w:p>
    <w:p>
      <w:pPr>
        <w:widowControl/>
      </w:pPr>
      <w:r>
        <w: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w:t>
      </w:r>
    </w:p>
    <w:p>
      <w:pPr>
        <w:pStyle w:val="Caption"/>
        <w:keepNext/>
        <w:widowControl/>
      </w:pPr>
      <w:r>
        <w:t>表9 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0.115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81.4%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0.215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44.8%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不可估计</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30"/>
                    <a:stretch>
                      <a:fillRect/>
                    </a:stretch>
                  </pic:blipFill>
                  <pic:spPr>
                    <a:xfrm>
                      <a:off x="0" y="0"/>
                      <a:ext cx="5868000" cy="2646252"/>
                    </a:xfrm>
                    <a:prstGeom prst="rect"/>
                  </pic:spPr>
                </pic:pic>
              </a:graphicData>
            </a:graphic>
          </wp:inline>
        </w:drawing>
      </w:r>
    </w:p>
    <w:p>
      <w:pPr>
        <w:pStyle w:val="Caption"/>
        <w:widowControl/>
      </w:pPr>
      <w:r>
        <w:t>图6 355条供应商输出上的评分天花板与评分者满分率。高一致率不代表逐论断语义支持已核验。</w:t>
      </w:r>
    </w:p>
    <w:p>
      <w:pPr>
        <w:pStyle w:val="Heading2"/>
      </w:pPr>
      <w:r>
        <w:t>5.5 完整样本与缺失敏感性</w:t>
      </w:r>
    </w:p>
    <w:p>
      <w:pPr>
        <w:widowControl/>
      </w:pPr>
      <w:r>
        <w: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w:t>
      </w:r>
    </w:p>
    <w:p>
      <w:pPr>
        <w:widowControl/>
      </w:pPr>
      <w:r>
        <w: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w:t>
      </w:r>
    </w:p>
    <w:p>
      <w:pPr>
        <w:pStyle w:val="Caption"/>
        <w:keepNext/>
        <w:widowControl/>
      </w:pPr>
      <w:r>
        <w:t>表10 逐公司删一与已知单侧缺失界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c>
          <w:tcPr>
            <w:tcW w:type="dxa" w:w="2381"/>
          </w:tcPr>
          <w:p>
            <w:r>
              <w:t>G2-G1</w:t>
            </w:r>
          </w:p>
        </w:tc>
        <w:tc>
          <w:tcPr>
            <w:tcW w:type="dxa" w:w="2381"/>
          </w:tcPr>
          <w:p>
            <w:r>
              <w:t>[0.199, 0.241]</w:t>
            </w:r>
          </w:p>
        </w:tc>
        <w:tc>
          <w:tcPr>
            <w:tcW w:type="dxa" w:w="2381"/>
          </w:tcPr>
          <w:p>
            <w:r>
              <w:t>[-1.508, 1.292]</w:t>
            </w:r>
          </w:p>
        </w:tc>
        <w:tc>
          <w:tcPr>
            <w:tcW w:type="dxa" w:w="2381"/>
          </w:tcPr>
          <w:p>
            <w:r>
              <w:t>13/28/0</w:t>
            </w:r>
          </w:p>
        </w:tc>
      </w:tr>
      <w:tr>
        <w:tc>
          <w:tcPr>
            <w:tcW w:type="dxa" w:w="2381"/>
          </w:tcPr>
          <w:p>
            <w:r>
              <w:t>G3-G2</w:t>
            </w:r>
          </w:p>
        </w:tc>
        <w:tc>
          <w:tcPr>
            <w:tcW w:type="dxa" w:w="2381"/>
          </w:tcPr>
          <w:p>
            <w:r>
              <w:t>[0.000, 0.014]</w:t>
            </w:r>
          </w:p>
        </w:tc>
        <w:tc>
          <w:tcPr>
            <w:tcW w:type="dxa" w:w="2381"/>
          </w:tcPr>
          <w:p>
            <w:r>
              <w:t>[-1.567, 1.767]</w:t>
            </w:r>
          </w:p>
        </w:tc>
        <w:tc>
          <w:tcPr>
            <w:tcW w:type="dxa" w:w="2381"/>
          </w:tcPr>
          <w:p>
            <w:r>
              <w:t>1/37/0</w:t>
            </w:r>
          </w:p>
        </w:tc>
      </w:tr>
      <w:tr>
        <w:tc>
          <w:tcPr>
            <w:tcW w:type="dxa" w:w="2381"/>
          </w:tcPr>
          <w:p>
            <w:r>
              <w:t>G3-NoRerank</w:t>
            </w:r>
          </w:p>
        </w:tc>
        <w:tc>
          <w:tcPr>
            <w:tcW w:type="dxa" w:w="2381"/>
          </w:tcPr>
          <w:p>
            <w:r>
              <w:t>[-0.250, -0.196]</w:t>
            </w:r>
          </w:p>
        </w:tc>
        <w:tc>
          <w:tcPr>
            <w:tcW w:type="dxa" w:w="2381"/>
          </w:tcPr>
          <w:p>
            <w:r>
              <w:t>[-1.750, 0.517]</w:t>
            </w:r>
          </w:p>
        </w:tc>
        <w:tc>
          <w:tcPr>
            <w:tcW w:type="dxa" w:w="2381"/>
          </w:tcPr>
          <w:p>
            <w:r>
              <w:t>2/23/20</w:t>
            </w:r>
          </w:p>
        </w:tc>
      </w:tr>
      <w:tr>
        <w:tc>
          <w:tcPr>
            <w:tcW w:type="dxa" w:w="2381"/>
          </w:tcPr>
          <w:p>
            <w:r>
              <w:t>G3-BM25</w:t>
            </w:r>
          </w:p>
        </w:tc>
        <w:tc>
          <w:tcPr>
            <w:tcW w:type="dxa" w:w="2381"/>
          </w:tcPr>
          <w:p>
            <w:r>
              <w:t>[-0.260, -0.219]</w:t>
            </w:r>
          </w:p>
        </w:tc>
        <w:tc>
          <w:tcPr>
            <w:tcW w:type="dxa" w:w="2381"/>
          </w:tcPr>
          <w:p>
            <w:r>
              <w:t>[-1.792, 0.608]</w:t>
            </w:r>
          </w:p>
        </w:tc>
        <w:tc>
          <w:tcPr>
            <w:tcW w:type="dxa" w:w="2381"/>
          </w:tcPr>
          <w:p>
            <w:r>
              <w:t>10/6/29</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31"/>
                    <a:stretch>
                      <a:fillRect/>
                    </a:stretch>
                  </pic:blipFill>
                  <pic:spPr>
                    <a:xfrm>
                      <a:off x="0" y="0"/>
                      <a:ext cx="5868000" cy="3597001"/>
                    </a:xfrm>
                    <a:prstGeom prst="rect"/>
                  </pic:spPr>
                </pic:pic>
              </a:graphicData>
            </a:graphic>
          </wp:inline>
        </w:drawing>
      </w:r>
    </w:p>
    <w:p>
      <w:pPr>
        <w:pStyle w:val="Caption"/>
        <w:widowControl/>
      </w:pPr>
      <w:r>
        <w:t>图7 排除会话补充回答后的缺失与逐公司删一敏感性。观测效应区间为20,000次公司聚类bootstrap点对点95%区间；全题代数缺失界与置信区间是不同估计对象。</w:t>
      </w:r>
    </w:p>
    <w:p>
      <w:pPr>
        <w:pStyle w:val="Heading1"/>
      </w:pPr>
      <w:r>
        <w:t>6 检索证据与案例分析</w:t>
      </w:r>
    </w:p>
    <w:p>
      <w:pPr>
        <w:pStyle w:val="Heading2"/>
      </w:pPr>
      <w:r>
        <w:t>6.1 来源供给与目标定位覆盖</w:t>
      </w:r>
    </w:p>
    <w:p>
      <w:pPr>
        <w:widowControl/>
      </w:pPr>
      <w:r>
        <w: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来源供给及严格目标位置结果见表11和图8。</w:t>
      </w:r>
    </w:p>
    <w:p>
      <w:pPr>
        <w:pStyle w:val="Caption"/>
        <w:keepNext/>
        <w:widowControl/>
      </w:pPr>
      <w:r>
        <w:t>表11 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图8 来源分配回放。类型同时存在是供给指标，不能替代参考页面覆盖或语义支持。</w:t>
      </w:r>
    </w:p>
    <w:p>
      <w:pPr>
        <w:pStyle w:val="Heading2"/>
      </w:pPr>
      <w:r>
        <w:t>6.2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w:t>
      </w:r>
    </w:p>
    <w:p>
      <w:pPr>
        <w:widowControl/>
      </w:pPr>
      <w:r>
        <w:t>在该案例中，G2与G3使用逐字相同的检索上下文且评分相同；它说明角色提示没有在此题增加评分，不能据一个案例推断提示普遍无效。案例和评分均来自主协议下的供应商输出，已排除会话补充答案。</w:t>
      </w:r>
    </w:p>
    <w:p>
      <w:pPr>
        <w:pStyle w:val="Caption"/>
        <w:keepNext/>
        <w:widowControl/>
      </w:pPr>
      <w:r>
        <w:t>表12 事后选取的供应商输出案例</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r>
              <w:t>002475SZ-2024-AUDIT_COMMITTEE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r>
              <w:t>一、年报披露（有原文支持）：1. 人员构成：立讯精密2024年报披露，审计委员会成员为刘中华、宋宇红、侯玲玲、张英，共4人；报告期内召开会议4次 [A1]。年报另披露公司董事会共7名董事，其中独立董事3名（法律、会计等领域专家），董事会下设审计委员会、战略委员会、提名委员会、薪酬与考核委员会4个专门委员会，称‘成员组成结构合理’ [A4]，但未逐一说明审计委员会各成员的董事类别及召集人身份……</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r>
              <w:t>A1,A4,R1,R2,R3,R4,R5</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结论与部署含义</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w:t>
      </w:r>
    </w:p>
    <w:p>
      <w:pPr>
        <w:widowControl/>
      </w:pPr>
      <w:r>
        <w: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w:t>
      </w:r>
    </w:p>
    <w:p>
      <w:pPr>
        <w:widowControl/>
      </w:pPr>
      <w:r>
        <w: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服务别名说明；底层revision未核实，核对日期2026-10-20及2026-10-23。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w:t>
      </w:r>
    </w:p>
    <w:p>
      <w:pPr>
        <w:pStyle w:val="Heading1"/>
      </w:pPr>
      <w:r>
        <w:t>附录B 写作与投稿状态</w:t>
      </w:r>
    </w:p>
    <w:p>
      <w:pPr>
        <w:widowControl/>
      </w:pPr>
      <w:r>
        <w: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