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 xml:space="preserve">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双路检索及相同证据下的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 xml:space="preserve">Listed-company evaluation requires both annual-report disclosures and relevant regulatory evidence. This study asks whether source-separated retrieval improves answer ratings and evidence supply over pooled retrieval. We build a traceable dual-source RAG pipeline and compare merged retrieval, dual retrieval, and source-role prompting with identical evidence on 60 questions from the 2024 annual reports of 20 companies.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