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取总候选上限10；G2在年报和法规作用域各取最多5个候选，再按现有确定性规则合并与组装；G3直接复用G2组装后的上下文。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输出依据年报报告成员、会议次数和履职情况，同时指出现有年报未逐一说明成员董事类别及召集人身份，且法规文本时点未核验，故不能仅据该回答认定符合规范。该单例用于展示输出与评分边界，不是主效应的独立证据。</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