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在合并候选检索设置中，两类片段进入同一个按问题相关性排序的候选列表；相关性排序本身并不显式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框架分别涉及答案与引用质量、检索上下文与忠实度、检索和生成的细粒度诊断，提示仅凭答案表面质量或引用可解析性难以全面刻画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中文金融事件知识图谱与研究报告问答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图谱化金融事件QA；本文比较年报披露与独立法规证据的来源组织，不以图谱构建为贡献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检索索引使用从1开始的PDF物理页序。人工来源核验时，若页面标有印刷页码则另行记录；两类页码不互相替代，也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提供追溯入口。本研究仅对1个问题下8种检索配置产生的16次成功候选检索执行了算术回放，核对已记录通道候选、融合结果与最终排序的一致性；该检查不验证候选的语义相关性，也不代表主实验全量运行均可回放。本研究未测量这些记录能否提升人工复核正确率或降低复核成本。工程可追溯性不能改变本实验的回答质量结果；如果简化配置表现更好，应如实报告，而不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在预设的20题来源缺失诊断中，删年报和删法规条件各有20条有效回答；与同题完整双源条件G3配对后，分别有15题可比较。已观察配对中，G3相对删年报和删法规的双人均分差分别为+0.967和+0.733（0–8分）。但另外5题的G3缺失；按量表端点界定20题均差的锐界分别为[−0.900, 1.100]和[−1.150, 0.850]，均跨零。删源同时改变证据内容与上下文长度，因此这些观察只与材料互补性解释相容，不能识别纯粹的来源角色效应。</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覆盖400个计划单元。历史评分包包含386条回答记录（其中31条为会话补充回答），对应3,088个原始评分字段；会话补充回答现已排除，纳入当前分析的是355条供应商输出。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