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41 observed G1/G2 pairs, G2 has a company-macro mean difference of 0.228 on a 0–8 scale (20,000 company-clustered bootstrap replications; pointwise 95% interval [0.110, 0.355]); however, the all-question missing-outcome bounds include zero. For 38 observed G2/G3 pairs, the difference is 0.013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Conventional retrieval often places passages in a single ranked list according to their relevance to a query, but semantic similarity does not encode the evidentiary role a passage should play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generation and citation quality [19]; RAGAs provides automated evaluation methods [20]; and RAGChecker further decomposes retrieval and generation stages [21]. Together, these studies show that surface answer quality and parseable citations alone do not explain overall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Printed page numbers are handled separately from the physical order shown by a PDF reader; page numbers are not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sources,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sources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independently checked each actual answer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company-macro mean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summed endpoints across questions gives the sharp bounds while retaining observed one-sided scores. This is a question-weighted range, not a confidence interval for the company-macro mean,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company-macro difference for the 41 observed G2–G1 pairs was 0.228,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all-question missing-outcome bounds in Table 10 include zero. Table 7 reports the main paired estimates, and Figure 4 shows rating distributions for the three primary conditions. The company-macro G2–G1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company-macro G2–G1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for review and preserves records that help distinguish parsing, retrieval, context assembly, and generation errors. We checked consistency between records and replay but did not measure whether traceability improves review accuracy or reduces review costs. These engineering capabilities therefore do not offset negative answer-quality results; if a simpler configuration performs better, that result should be reported rather than selecting only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The score decline after removing one source type is consistent with evidence complementarity, but the ablation changes both evidence content and context length and cannot isolate a pure complementarity effect. A reasonable answer that acknowledges insufficient evidence may still score well on uncertainty handling. A cautious but incomplete answer can therefore retain a high total score. This is not necessarily a scale defect, because avoiding unsupported conclusions is important in professional QA. However, if answer completeness is also a target, completeness and conservatism must be measured separately.</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historical Order No. 182, the consolidated full text of the 2023 amendments to the Guidelines, and the 2018 Code of Corporate Governance were not independently added to the knowledge base; DOC343 is only the 2023 amendment decision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described as cross-family generalization.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dual-route retrieval had a company-macro mean score 0.228 points higher on the 0–8 scale (pointwise 95% company-clustered interval [0.110, 0.355]). However, the all-60-question mean-difference bounds,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This study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355 provider outputs included in the analysis, 386 historical rating records and their 3,088 original rating fields; 31 session-generated responses were excluded from the reanalysis. All 120 contexts under the original configuration were reproduced character for character, and 123 reference-source locations could be found in the index. Raters are identified in the text as Rater 1 and Rater 2. Historical scores and failures are retained; added analyses are not retrospectively described as preregistered.</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Cross-year and agent extensions remain in the separate merged extension manuscript and are not part of this paper’s primary results.</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