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sources,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sources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independently checked each actual answer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summed endpoints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historical Order No. 182, the consolidated full text of the 2023 amendments to the Guidelines, and the 2018 Code of Corporate Governance were not independently added to the knowledge base; DOC343 is only the 2023 amendment decision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This study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reference-source locations could be found in the index. Raters are identified in the text as Rater 1 and Rater 2. Historical scores and failures are retained; added analyses are not retrospectively described as preregistered.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