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Conventional retrieval often places passages in a single ranked list according to their relevance to a query, but semantic similarity does not encode the evidentiary role a passage should play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Printed page numbers are handled separately from the physical order shown by a PDF reader; page numbers are not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sources,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sources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independently checked each actual answer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summed endpoints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for review and preserves records that help distinguish parsing, retrieval, context assembly, and generation errors. We checked consistency between records and replay but did not measure whether traceability improves review accuracy or reduces review costs. These engineering capabilities therefore do not offset negative answer-quality results; if a simpler configuration performs better, that result should be reported rather than selecting only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The score decline after removing one source type is consistent with evidence complementarity, but the ablation changes both evidence content and context length and cannot isolate a pure complementarity effect. A reasonable answer that acknowledges insufficient evidence may still score well on uncertainty handling. A cautious but incomplete answer can therefore retain a high total score. This is not necessarily a scale defect, because avoiding unsupported conclusions is important in professional QA. However, if answer completeness is also a target, completeness and conservatism must be measured separately.</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historical Order No. 182, the consolidated full text of the 2023 amendments to the Guidelines, and the 2018 Code of Corporate Governance were not independently added to the knowledge base; DOC343 is only the 2023 amendment decision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This study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355 provider outputs included in the analysis, 386 historical rating records and their 3,088 original rating fields; 31 session-generated responses were excluded from the reanalysis. All 120 contexts under the original configuration were reproduced character for character, and 123 reference-source locations could be found in the index. Raters are identified in the text as Rater 1 and Rater 2. Historical scores and failures are retained; added analyses are not retrospectively described as preregistered.</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Cross-year and agent extensions remain in the separate merged extension manuscript and are not part of this paper’s primary results.</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