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In the merged-candidate retrieval condition, passages from both sources enter a single list ranked by query relevance; the ranking does not explicitly encode the evidentiary role of each passage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The retrieval index uses one-based physical PDF page order. During human source review, printed page labels are recorded separately when present; the two page references are not interchangeable or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evidence records,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evidence records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each checked the actual answers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lower endpoints and the upper endpoints separately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We performed an arithmetic replay of 16 successful candidate retrievals across eight retrieval configurations for one question, checking consistency among the recorded channel candidates, fusion results, and final rankings. This check does not verify semantic relevance or establish that the entire primary experiment can be replayed. We did not measure whether these records improve human review accuracy or reduce review costs. Traceability does not alter the observed answer-quality results; if a simpler configuration performs better, it should be reported rather than selectively presenting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In the prespecified 20-question source-removal diagnostic, the no-annual-report and no-regulation conditions each produced 20 valid answers. Pairing each with the full dual-source G3 condition yielded 15 comparable questions. In the observed pairs, the two-rater mean score differences for G3 versus no annual report and no regulation were +0.967 and +0.733, respectively, on the 0–8 scale. G3 was missing for the other five questions; sharp bounds on the 20-question mean differences based on the scale endpoints were [−0.900, 1.100] and [−1.150, 0.850], respectively, both spanning zero. Removing a source changes both evidence content and context length; the observations are consistent with complementary materials but do not identify a pure source-role effect.</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frozen index included all 22 pages of the official PDF for historical Order No. 182, which was not on the exclusion list; this document did not appear in the frozen candidate table. No separate entry for the 2018 Code of Corporate Governance was identified by title or document identifier, although this check does not exclude its inclusion in another source. The DOC343 text contains both the 2023 amendment decision and the subsequently republished full Guidelines. The frozen protocol excluded the text version of DOC343 but included its official 59-page PDF as OFFICIAL-DOC343. In the frozen G2 top-10 rankings, seven questions retrieved physical page 2 of that PDF, which belongs to the amendment decision; this count does not establish semantic support or applicability to an individual event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r>
        <ns0:t>An exploratory cross-family and cross-year check used eight existing questions from four companies’ 2023 and 2024 reports. Qwen3-0.6B (pinned local weights, FP16 GPU) and the previously used K3 service alias received the same saved user prompts and initial evidence; both returned eight nonempty outputs. Against the existing, assistant-extracted post-output corrected references, Qwen and K3 respectively achieved member macro-F1 of 0.651 and 0.975, date macro-F1 of 0.600 and 0.953, exact meeting-count matches on 3/8 and 8/8 questions, and strict output-schema compliance on 0/8 and 8/8 (Figure 9). Field F1 is computed even for schema-invalid answers and does not establish format validity or citation support. Against the originally frozen references, member macro-F1 was 0.653 and 0.989; the erratum followed the prior K3 outputs. This post hoc check has one generation per model and question and only four companies. Qwen used temperature 0.7 and a 2,048-token generation limit, whereas K3 used temperature 1 and an 8,192-token output limit. Model capacity, compute and output budgets differ, and K3’s underlying revision was not independently verified. The comparison therefore cannot attribute differences to model family, establish generalization across years, or verify legal applicability or semantic citation support.</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Figure 9. Exploratory cross-family comparison on eight questions using existing assistant-extracted references. Model capacity and budgets differ; reference accuracy is not independently established.</ns0:t>
      </ns0:r>
    </ns0:p>
    <ns0:p>
      <ns0:pPr/>
      <ns0:r>
        <ns0:t>The saved K3 outputs for the same eight questions also permit a post hoc comparison of an Agent with two retrieval-planning rounds against three-round revision over fixed evidence. Both started from the same initial evidence, but the Agent changed its final context. Each condition failed on a different question, leaving six successful pairs across four companies. Against the corrected assistant-extracted references, Agent and fixed-evidence revision achieved member macro-F1 of 0.833 and 0.985, date macro-F1 of 0.786 and 0.952, and exact matches on all three fields for 4/6 and 5/6 pairs, respectively (Figure 10). The six pairs used 18 recorded calls per condition; provider-reported total tokens were 102,600 and 97,441. Equal call counts do not equate compute, output or context budgets. Across all eight planned questions, bounding each unobserved three-field match by [0,1] and retaining available one-sided results gives an Agent-minus-revision mean-difference range of [-0.375, -0.125] with the corrected references and [-0.250, 0] with the original frozen references. These conditional and bounded analyses use small samples and references not independently adjudicated; the correction followed inspection of prior outputs. They do not establish that Agents are generally ineffective, identify a causal retrieval effect, or validate semantic citation support. No new model calls or human annotations were made.</ns0:t>
      </ns0:r>
    </ns0:p>
    <ns0:p>
      <ns0:pPr>
        <ns0:keepNext/>
        <ns0:jc ns0:val="center"/>
      </ns0:pPr>
      <ns0:r>
        <ns0:drawing>
          <ns2:inline>
            <ns2:extent cx="4754880" cy="3176852"/>
            <ns2:docPr id="11" name="Picture 11"/>
            <ns2:cNvGraphicFramePr>
              <ns3:graphicFrameLocks noChangeAspect="1"/>
            </ns2:cNvGraphicFramePr>
            <ns3:graphic>
              <ns3:graphicData uri="http://schemas.openxmlformats.org/drawingml/2006/picture">
                <ns4:pic>
                  <ns4:nvPicPr>
                    <ns4:cNvPr id="0" name="agent_observed_pairs.png"/>
                    <ns4:cNvPicPr/>
                  </ns4:nvPicPr>
                  <ns4:blipFill>
                    <ns3:blip ns5:embed="rId33"/>
                    <ns3:stretch>
                      <ns3:fillRect/>
                    </ns3:stretch>
                  </ns4:blipFill>
                  <ns4:spPr>
                    <ns3:xfrm>
                      <ns3:off x="0" y="0"/>
                      <ns3:ext cx="4754880" cy="3176852"/>
                    </ns3:xfrm>
                    <ns3:prstGeom prst="rect"/>
                  </ns4:spPr>
                </ns4:pic>
              </ns3:graphicData>
            </ns3:graphic>
          </ns2:inline>
        </ns0:drawing>
      </ns0:r>
    </ns0:p>
    <ns0:p>
      <ns0:pPr>
        <ns0:pStyle ns0:val="Caption"/>
      </ns0:pPr>
      <ns0:r>
        <ns0:t>Figure 10. Six available Agent versus three-round fixed-evidence revision pairs. Two different planned questions lacked a complete pair; field matches do not validate semantic citation support.</ns0:t>
      </ns0:r>
    </ns0:p>
    <ns0:p>
      <ns0:r>
        <ns0:t>Post-hoc format-prompt development. After inspecting Qwen citation-field errors, we appended an empty schema example and regenerated answers for the same eight questions and evidence with the same model, sampling settings and seeds. Against the existing assistant-extracted references with a post-output erratum, schema compliance rose from 0/8 to 3/8, member macro F1 from 0.651 to 0.678, date macro F1 fell from 0.600 to 0.558, and exact meeting-count matches rose from 3/8 to 6/8; all three fields matched exactly on 1/8 questions in both conditions. The original and example prompts used 38,998 and 39,710 input tokens and produced 2,695 and 1,114 output tokens, respectively. This prompt was designed after observing errors on these same cases and is a development experiment, not independent validation. A single sample and small dataset cannot establish a robust improvement, and schema validity does not establish semantic citation support. The existing references have not been independently validated; no new human labels were collected.</ns0:t>
      </ns0:r>
      <ns0:r>
        <ns0:t xml:space="preserve"> A further mechanical citation audit found that only 2/8 example-prompt answers provided nonempty, resolvable source IDs for all three fields; another answer met the type checks but put date strings in its citation lists. This audit does not determine whether the cited material supports the specific answer.</ns0:t>
      </ns0:r>
    </ns0:p>
    <ns0:p>
      <ns0:pPr>
        <ns0:jc ns0:val="center"/>
      </ns0:pPr>
      <ns0:r>
        <ns0:drawing>
          <ns2:inline>
            <ns2:extent cx="3931920" cy="2521214"/>
            <ns2:docPr id="12" name="Picture 12"/>
            <ns2:cNvGraphicFramePr>
              <ns3:graphicFrameLocks noChangeAspect="1"/>
            </ns2:cNvGraphicFramePr>
            <ns3:graphic>
              <ns3:graphicData uri="http://schemas.openxmlformats.org/drawingml/2006/picture">
                <ns4:pic>
                  <ns4:nvPicPr>
                    <ns4:cNvPr id="0" name="schema_prompt_development.png"/>
                    <ns4:cNvPicPr/>
                  </ns4:nvPicPr>
                  <ns4:blipFill>
                    <ns3:blip ns5:embed="rId34"/>
                    <ns3:stretch>
                      <ns3:fillRect/>
                    </ns3:stretch>
                  </ns4:blipFill>
                  <ns4:spPr>
                    <ns3:xfrm>
                      <ns3:off x="0" y="0"/>
                      <ns3:ext cx="3931920" cy="2521214"/>
                    </ns3:xfrm>
                    <ns3:prstGeom prst="rect"/>
                  </ns4:spPr>
                </ns4:pic>
              </ns3:graphicData>
            </ns3:graphic>
          </ns2:inline>
        </ns0:drawing>
      </ns0:r>
    </ns0:p>
    <ns0:p>
      <ns0:pPr>
        <ns0:jc ns0:val="center"/>
      </ns0:pPr>
      <ns0:r>
        <ns0:t>Figure 11. Post-hoc within-model format-prompt development using existing assistant-extracted references with a post-output erratum. Schema validity does not establish citation support.</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The primary experiment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The historical rating package contains 386 answer records, including 31 session-generated responses, with 3,088 original rating fields. Session-generated responses were excluded; the current analysis includes 355 provider outputs. All 120 contexts under the original configuration were reproduced character for character, and 123 reference evidence locations could be found in the index. Raters are identified in the text as Rater 1 and Rater 2. Historical scores and failures are retained; added analyses are not retrospectively described as preregistered.</ns0:t>
      </ns0:r>
    </ns0:p>
    <ns0:p>
      <ns0:pPr/>
      <ns0:r>
        <ns0:t>The supplementary cross-model run retains its fixed prompts, model revision, per-question outputs and scoring results in the project materials. Qwen outputs are in results/runs/qwen_cuda_cross_model_20261029_01 and the scoring summary is in results/runs/qwen_cuda_cross_model_score_20261029_04/summary.json; execution and scoring scripts are scripts/run_qwen_cuda_cross_model_20261029.py and scripts/score_qwen_cross_model_20261029.py. Both existing reference versions and their provenance are retained; no new human annotation was performed.</ns0:t>
      </ns0:r>
    </ns0:p>
    <ns0:p>
      <ns0:pPr/>
      <ns0:r>
        <ns0:t>The saved Agent and fixed-evidence revision comparison, including provenance, failures, pair selection and sensitivity bounds, is recorded in results/runs/agent_pairs_reanalysis_20261029_01/agent_pair_comparison.json and scripts/reanalyze_saved_agent_pairs_20261029.py.</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The full cross-year and Agent extensions remain in the separate merged manuscript; this paper reports only small exploratory comparisons outside its primary experiment.</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