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上市公司评价既需要年报披露，也需要相应法规依据。本文考察在年报与法规问答中，按来源分路检索相较合并检索能否改善回答质量及证据供给。我们构建保留文档身份和原文坐标的双源检索增强生成流程，在20家公司2024年年报的60个问题上比较合并检索、双路检索及相同证据下的来源角色提示，并分析来源缺失和简化检索等诊断条件。400个计划回答中，386个有效输出由两位评分者依据原文独立评分。双路检索相较合并检索的0至8分公司宏均分差为0.250，95%公司聚类bootstrap区间为[0.167, 0.333]；角色提示相较双路检索的增量为−0.008，区间跨0。双路检索使两类来源同现率由68.3%升至100%，但平均参考位置覆盖未提高，法规参考位置覆盖仍有限。收益主要出现在法规评分和审计委员会主题，引用及不确定性维度存在天花板。结果表明，来源供给、目标证据定位与回答质量是不同测量对象；当前发现仅适用于本研究样本、模型和评分协议。</w:t>
      </w:r>
    </w:p>
    <w:p>
      <w:pPr>
        <w:widowControl/>
      </w:pPr>
      <w:r>
        <w:t>关键词：检索增强生成；年度报告；法规证据；来源追溯；预算回放；人工评价</w:t>
      </w:r>
    </w:p>
    <w:p>
      <w:pPr>
        <w:pStyle w:val="Heading1"/>
      </w:pPr>
      <w:r>
        <w:t>Abstract</w:t>
      </w:r>
    </w:p>
    <w:p>
      <w:pPr>
        <w:widowControl/>
      </w:pPr>
      <w:r>
        <w:t>Listed-company evaluation requires both annual-report disclosures and relevant regulatory evidence. This study asks whether source-separated retrieval improves answer ratings and evidence supply over pooled retrieval in annual-report and regulation question answering. We build a traceable dual-source RAG pipeline that preserves document identity and source coordinates, and compare merged retrieval, dual retrieval, and source-role prompting with identical evidence on 60 questions from the 2024 annual reports of 20 companies. We also examine source-removal and simplified-retrieval conditions. Of 400 planned responses, 386 valid outputs were independently rated against the source documents by two reviewers. Dual retrieval exceeds merged retrieval by 0.250 points on a company-macro 0–8 scale (company-clustered 95% bootstrap interval: [0.167, 0.333]); source-role prompting adds −0.008 points over dual retrieval, with an interval spanning zero. Dual retrieval increases two-source presence from 68.3% to 100%, while mean reference-location coverage does not improve and regulatory reference coverage remains limited. Gains are concentrated in the regulation dimension and audit-committee questions; citation and uncertainty ratings show ceiling effects. The results distinguish source availability, target-evidence location, and answer quality, and are limited to the sampled companies, model configuration, and rating protocol.</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r>
        <w:t xml:space="preserve"> 系统流程见图1。</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r>
        <w:t xml:space="preserve"> 代表性研究与本研究的差异归纳见表1。</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r>
        <w:t xml:space="preserve"> 符号及其含义见表2。</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r>
        <w:t xml:space="preserve"> 来源记录字段及其核验层次见表3。</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rPr>
          <w:rFonts w:ascii="Microsoft YaHei" w:hAnsi="Microsoft YaHei" w:eastAsia="Microsoft YaHei"/>
        </w:rP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r>
        <w:t xml:space="preserve"> 论断与来源关系示意见图2。</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r>
        <w:t xml:space="preserve"> 语料范围和标注构成汇总见表4。</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r>
        <w:t xml:space="preserve"> 实际比较条件与分析范围见表5，变量隔离示意见图3。</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 主实验的60题各保存了 merged 与 dual 两种条件下的 Top-10 排序；但现有人工相关性判断来自另一套40题开发集（1,049条候选判断），与主实验题目ID无交集，也不是穷尽相关证据标注，故本文不报告标准 Precision@k、Recall@k 或 nDCG@k。</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r>
        <w:t xml:space="preserve"> 计划回答、有效输出与评分覆盖见表6。</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rPr>
          <w:rFonts w:ascii="Microsoft YaHei" w:hAnsi="Microsoft YaHei" w:eastAsia="Microsoft YaHei"/>
        </w:rP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r>
        <w:t xml:space="preserve"> 主比较及人员敏感性结果见表7和图4。</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r>
        <w:t xml:space="preserve"> 逐维度配对效应见表8和图5。</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r>
        <w:t xml:space="preserve"> 主题分层结果见表9和图6。</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r>
        <w:t xml:space="preserve"> 评分者一致性与尺度差异见表10和图7。</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r>
        <w:t xml:space="preserve"> 来源删除和同系列服务版本比较见表11。</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r>
        <w:t xml:space="preserve"> 删一分析与缺失边界见表12和图8。</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r>
        <w:t xml:space="preserve"> 来源供给及严格目标位置结果见表13和图9。</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r>
        <w:t xml:space="preserve"> 预算回放结果见表14和图10；主题分层覆盖见图11。</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r>
        <w:t xml:space="preserve"> 排名和预算回放的来源定位结果见表15。</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r>
        <w:t xml:space="preserve"> 法规页级和文件级定位结果分列于表16。</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r>
        <w:t xml:space="preserve"> 引用结构代理及其限制见表17和图12。</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r>
        <w:t xml:space="preserve"> 选取成功调用的资源用量汇总见表18和图13。</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案例显示了角色提示下的时间口径风险与评审分歧。G3把“本报告期利润分配预案不适用”扩展为“报告期内未形成并实施当期利润分配”。评审人1指出，保利发展2023年度现金分红方案于2024年实际执行，每股现金红利0.41元并于2024年7月30日发放[30]；G3没有具体报告这笔发生在2024报告期内的分红，故将事实评为0、不确定性评为1。评审人2对事实给2分、法规给1分。该例需同时区分利润分配所属年度与现金发放所在报告期；两位评审人的分项差异应在结果中完整保留。</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r>
        <w:t xml:space="preserve"> 事后选取案例及评分分歧见表19。</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使材料可回放，便于事后复核时定位所用材料，并为区分解析、检索、上下文组装和生成错误提供记录。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历史版本方面，第182号令、章程指引2023年修订后的合并全文及治理准则2018年版未独立入库；DOC343仅为2023年修改决定[25–27]。按清单日期检查冻结的法规top-10候选，G1合库检索的73条法规候选中有64条晚于报告年度，涉及42/60题；G2双路检索的300条中有156条晚于报告年度，涉及60/60题。索引@DATE口径不一：DOC100记审议通过日2025-02-28，DOC128记公布日2025-03-28，DOC120记施行日2026-01-01[25–27]。故“晚于报告年度”仅是索引时间标记；具体适用仍须结合事项日期及规范的公布、施行、修订和废止状态逐项核实。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结论与部署含义</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这些建议来自本研究观察到的来源供给与法规版本限制；本研究未直接检验其能否降低决策风险、复核成本或人员工作时间。</w:t>
      </w:r>
    </w:p>
    <w:p>
      <w:pPr>
        <w:widowControl/>
      </w:pPr>
      <w:r>
        <w:t>本文对上市公司年报与法规问答中的双源检索进行了受控比较。现有双人评分显示，双路检索相较合并检索的公司宏均分差为正，而相同证据下增加来源角色提示未显示稳定增益；来源缺失条件下的得分较低，但来源同现和参考位置覆盖不能替代论断级语义支持。结果支持在该任务中显式组织不同来源，并表明复杂检索配置并不普遍优于简化基线。</w:t>
      </w:r>
    </w:p>
    <w:p>
      <w:pPr>
        <w:widowControl/>
      </w:pPr>
      <w:r>
        <w:t>本研究仍受限于20家公司、60个问题、单一报告年度、探索性设计及评分量表天花板。法规知识库未完整提供与2024年报告期相匹配的历史版本，因此结果不构成历史法规适用性验证；人工评分也不等同于检索Precision、Recall或答案Accuracy。后续若需提出这些更强主张，应分别建立独立问题集、相关证据标注和盲评协议。</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spacing w:after="0" w:before="0" w:line="240" w:lineRule="auto"/>
      </w:pPr>
      <w:r>
        <w:t>[1] Lewis P, et al. Retrieval-Augmented Generation for Knowledge-Intensive NLP Tasks. Advances in Neural Information Processing Systems 33 (NeurIPS 2020): 9459–9474. https://proceedings.neurips.cc/paper/2020/hash/6b493230-Abstract.html</w:t>
      </w:r>
    </w:p>
    <w:p>
      <w:pPr>
        <w:widowControl/>
        <w:spacing w:after="0" w:before="0" w:line="240" w:lineRule="auto"/>
      </w:pPr>
      <w:r>
        <w:t>[2] Chen Z, et al. FinQA: A Dataset of Numerical Reasoning over Financial Data. EMNLP, 2021: 3697–3711. https://doi.org/10.18653/v1/2021.emnlp-main.300</w:t>
      </w:r>
    </w:p>
    <w:p>
      <w:pPr>
        <w:widowControl/>
        <w:spacing w:after="0" w:before="0" w:line="240" w:lineRule="auto"/>
      </w:pPr>
      <w:r>
        <w:t>[3] Zhu F, et al. TAT-QA: A Question Answering Benchmark on a Hybrid of Tabular and Textual Content in Finance. ACL-IJCNLP, 2021: 3277–3287. https://doi.org/10.18653/v1/2021.acl-long.254</w:t>
      </w:r>
    </w:p>
    <w:p>
      <w:pPr>
        <w:widowControl/>
        <w:spacing w:after="0" w:before="0" w:line="240" w:lineRule="auto"/>
      </w:pPr>
      <w:r>
        <w:t>[4] Choe J, Kim J, Jung W. Hierarchical Retrieval with Evidence Curation for Open-Domain Financial Question Answering on Standardized Documents. Findings of ACL, 2025: 16663–16681. https://doi.org/10.18653/v1/2025.findings-acl.855</w:t>
      </w:r>
    </w:p>
    <w:p>
      <w:pPr>
        <w:widowControl/>
        <w:spacing w:after="0" w:before="0" w:line="240" w:lineRule="auto"/>
      </w:pPr>
      <w:r>
        <w:t>[5] Siddharth L, Luo J. Retrieval augmented generation using engineering design knowledge. Knowledge-Based Systems 303, 2024: 112410. https://doi.org/10.1016/j.knosys.2024.112410</w:t>
      </w:r>
    </w:p>
    <w:p>
      <w:pPr>
        <w:widowControl/>
        <w:spacing w:after="0" w:before="0" w:line="240" w:lineRule="auto"/>
      </w:pPr>
      <w:r>
        <w:t>[6] Yang W, Some L, Bain M, Kang B. A comprehensive survey on integrating large language models with knowledge-based methods. Knowledge-Based Systems 318, 2025: 113503. https://doi.org/10.1016/j.knosys.2025.113503</w:t>
      </w:r>
    </w:p>
    <w:p>
      <w:pPr>
        <w:widowControl/>
        <w:spacing w:after="0" w:before="0" w:line="240" w:lineRule="auto"/>
      </w:pPr>
      <w:r>
        <w:t>[7] Robertson S, Zaragoza H. The Probabilistic Relevance Framework: BM25 and Beyond. Foundations and Trends in Information Retrieval 3(4), 2009: 333–389. https://doi.org/10.1561/1500000019</w:t>
      </w:r>
    </w:p>
    <w:p>
      <w:pPr>
        <w:widowControl/>
        <w:spacing w:after="0" w:before="0" w:line="240" w:lineRule="auto"/>
      </w:pPr>
      <w:r>
        <w:t>[8] Karpukhin V, et al. Dense Passage Retrieval for Open-Domain Question Answering. EMNLP, 2020: 6769–6781. https://doi.org/10.18653/v1/2020.emnlp-main.550</w:t>
      </w:r>
    </w:p>
    <w:p>
      <w:pPr>
        <w:widowControl/>
        <w:spacing w:after="0" w:before="0" w:line="240" w:lineRule="auto"/>
      </w:pPr>
      <w:r>
        <w:t>[9] Zhang Y, et al. Qwen3 Embedding: Advancing Text Embedding and Reranking Through Foundation Models. arXiv, 2025. https://arxiv.org/abs/2506.05176</w:t>
      </w:r>
    </w:p>
    <w:p>
      <w:pPr>
        <w:widowControl/>
        <w:spacing w:after="0" w:before="0" w:line="240" w:lineRule="auto"/>
      </w:pPr>
      <w:r>
        <w:t>[10] Cormack G V, Clarke C L A, Buettcher S. Reciprocal rank fusion outperforms condorcet and individual rank learning methods. SIGIR, 2009: 758–759. https://doi.org/10.1145/1571941.1572114</w:t>
      </w:r>
    </w:p>
    <w:p>
      <w:pPr>
        <w:widowControl/>
        <w:spacing w:after="0" w:before="0" w:line="240" w:lineRule="auto"/>
      </w:pPr>
      <w:r>
        <w:t>[11] Alier M, García-Peñalvo F J, Casañ M J, Pereira J, Granados A. Closing the acronym gap in educational retrieval with ontology-guided augmentation. Information Sciences 740, 2026: 123181. https://doi.org/10.1016/j.ins.2026.123181</w:t>
      </w:r>
    </w:p>
    <w:p>
      <w:pPr>
        <w:widowControl/>
        <w:spacing w:after="0" w:before="0" w:line="240" w:lineRule="auto"/>
      </w:pPr>
      <w:r>
        <w:t>[12] Asai A, Wu Z, Wang Y, Sil A, Hajishirzi H. Self-RAG: Learning to Retrieve, Generate, and Critique through Self-Reflection. ICLR, 2024. https://arxiv.org/abs/2310.11511</w:t>
      </w:r>
    </w:p>
    <w:p>
      <w:pPr>
        <w:widowControl/>
        <w:spacing w:after="0" w:before="0" w:line="240" w:lineRule="auto"/>
      </w:pPr>
      <w:r>
        <w:t>[13] Yan S Q, Gu J C, Zhu Y, Ling Z H. Corrective Retrieval Augmented Generation. arXiv, 2024. https://arxiv.org/abs/2401.15884</w:t>
      </w:r>
    </w:p>
    <w:p>
      <w:pPr>
        <w:widowControl/>
        <w:spacing w:after="0" w:before="0" w:line="240" w:lineRule="auto"/>
      </w:pPr>
      <w:r>
        <w:t>[14] Jeong S, Baek J, Cho S, Hwang S J, Park J. Adaptive-RAG: Learning to Adapt Retrieval-Augmented Large Language Models through Question Complexity. NAACL, 2024: 7036–7050. https://doi.org/10.18653/v1/2024.naacl-long.389</w:t>
      </w:r>
    </w:p>
    <w:p>
      <w:pPr>
        <w:widowControl/>
        <w:spacing w:after="0" w:before="0" w:line="240" w:lineRule="auto"/>
      </w:pPr>
      <w:r>
        <w:t>[15] Han W, Xiao X, Li Y, Wang J, Pechenizkiy M, Fang M. Adaptive iterative retrieval for enhanced retrieval-augmented generation. Neurocomputing 666, 2026: 132272. https://doi.org/10.1016/j.neucom.2025.132272</w:t>
      </w:r>
    </w:p>
    <w:p>
      <w:pPr>
        <w:widowControl/>
        <w:spacing w:after="0" w:before="0" w:line="240" w:lineRule="auto"/>
      </w:pPr>
      <w:r>
        <w:t>[16] Yao S, et al. ReAct: Synergizing Reasoning and Acting in Language Models. International Conference on Learning Representations (ICLR 2023). https://arxiv.org/abs/2210.03629</w:t>
      </w:r>
    </w:p>
    <w:p>
      <w:pPr>
        <w:widowControl/>
        <w:spacing w:after="0" w:before="0" w:line="240" w:lineRule="auto"/>
      </w:pPr>
      <w:r>
        <w:t>[17] Li B, Fan S, Zhu S, Wen L. CoLE: A collaborative legal expert prompting framework for large language models in law. Knowledge-Based Systems 311, 2025: 113052. https://doi.org/10.1016/j.knosys.2025.113052</w:t>
      </w:r>
    </w:p>
    <w:p>
      <w:pPr>
        <w:widowControl/>
        <w:spacing w:after="0" w:before="0" w:line="240" w:lineRule="auto"/>
      </w:pPr>
      <w:r>
        <w:t>[18] Wang H, et al. Learning to break: Knowledge-enhanced reasoning in multi-agent debate system. Neurocomputing 618, 2025: 129063. https://doi.org/10.1016/j.neucom.2024.129063</w:t>
      </w:r>
    </w:p>
    <w:p>
      <w:pPr>
        <w:widowControl/>
        <w:spacing w:after="0" w:before="0" w:line="240" w:lineRule="auto"/>
      </w:pPr>
      <w:r>
        <w:t>[19] Gao T, Yen H, Yu J, Chen D. Enabling Large Language Models to Generate Text with Citations. EMNLP, 2023: 6465–6488. https://doi.org/10.18653/v1/2023.emnlp-main.398</w:t>
      </w:r>
    </w:p>
    <w:p>
      <w:pPr>
        <w:widowControl/>
        <w:spacing w:after="0" w:before="0" w:line="240" w:lineRule="auto"/>
      </w:pPr>
      <w:r>
        <w:t>[20] Es S, James J, Espinosa Anke L, Schockaert S. RAGAs: Automated Evaluation of Retrieval Augmented Generation. EACL System Demonstrations, 2024: 150–158. https://doi.org/10.18653/v1/2024.eacl-demo.16</w:t>
      </w:r>
    </w:p>
    <w:p>
      <w:pPr>
        <w:widowControl/>
        <w:spacing w:after="0" w:before="0" w:line="240" w:lineRule="auto"/>
      </w:pPr>
      <w:r>
        <w:t>[21] Ru D, et al. RAGChecker: A Fine-grained Framework for Diagnosing Retrieval-Augmented Generation. Advances in Neural Information Processing Systems 37 (NeurIPS 2024), Datasets and Benchmarks Track. https://doi.org/10.52202/079017-0692</w:t>
      </w:r>
    </w:p>
    <w:p>
      <w:pPr>
        <w:widowControl/>
        <w:spacing w:after="0" w:before="0" w:line="240" w:lineRule="auto"/>
      </w:pPr>
      <w:r>
        <w:t>[22] Pipitone N, Alami G H. LegalBench-RAG: A Benchmark for Retrieval-Augmented Generation in the Legal Domain. arXiv, 2024. https://arxiv.org/abs/2408.10343</w:t>
      </w:r>
    </w:p>
    <w:p>
      <w:pPr>
        <w:widowControl/>
        <w:spacing w:after="0" w:before="0" w:line="240" w:lineRule="auto"/>
      </w:pPr>
      <w:r>
        <w:t>[23] Liu N F, et al. Lost in the Middle: How Language Models Use Long Contexts. TACL 12, 2024: 157–173. https://doi.org/10.1162/tacl_a_00638</w:t>
      </w:r>
    </w:p>
    <w:p>
      <w:pPr>
        <w:widowControl/>
        <w:spacing w:after="0" w:before="0" w:line="240" w:lineRule="auto"/>
      </w:pPr>
      <w:r>
        <w:t>[24] Kimi. 模型配置. 服务别名说明；底层revision未核实，核对日期2026-10-20及2026-10-23。 https://www.kimi.com/help/kimi-code/models</w:t>
      </w:r>
    </w:p>
    <w:p>
      <w:pPr>
        <w:widowControl/>
        <w:spacing w:after="0" w:before="0" w:line="240" w:lineRule="auto"/>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spacing w:after="0" w:before="0" w:line="240" w:lineRule="auto"/>
      </w:pPr>
      <w:r>
        <w:t>[26] 中国证监会. 第62号公告《关于修改〈上市公司章程指引〉的决定》（2023）及第6号公告《上市公司章程指引》（2025）。 https://www.csrc.gov.cn/csrc/c101954/c7449659/content.shtml; https://www.csrc.gov.cn/csrc/c101954/c7547791/content.shtml</w:t>
      </w:r>
    </w:p>
    <w:p>
      <w:pPr>
        <w:widowControl/>
        <w:spacing w:after="0" w:before="0" w:line="240" w:lineRule="auto"/>
      </w:pPr>
      <w:r>
        <w:t>[27] 中国证监会. 第29号公告《上市公司治理准则》（2018）及第18号公告《上市公司治理准则》（2025）。 https://www.csrc.gov.cn/csrc/c101864/c1024585/content.shtml; https://www.csrc.gov.cn/csrc/c101954/c7589726/content.shtml</w:t>
      </w:r>
    </w:p>
    <w:p>
      <w:pPr>
        <w:widowControl/>
        <w:spacing w:after="0" w:before="0" w:line="240" w:lineRule="auto"/>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spacing w:after="0" w:before="0" w:line="240" w:lineRule="auto"/>
      </w:pPr>
      <w:r>
        <w:t>[29] Zhu T, Liu M, Kurfali M. CFQA: A Chinese Financial Question Answering Benchmark from Corporate Annual Reports. Proceedings of the 7th Financial Narrative Processing Workshop, 2026: 28–38. https://doi.org/10.63317/4e6fhrncfrbu</w:t>
      </w:r>
    </w:p>
    <w:p>
      <w:pPr>
        <w:spacing w:after="0" w:before="0" w:line="240" w:lineRule="auto"/>
      </w:pPr>
      <w:r>
        <w:t>[30] 保利发展控股集团股份有限公司. 2023年年度权益分派实施公告（公告编号2024-055）. 2024-07-24. 巨潮资讯网PDF</w:t>
      </w:r>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实证研究稿，含英文题名与摘要，当前版本聚焦年报与法规双源RAG的检索组织比较。作者、单位、基金、利益冲突、CRediT和AI辅助写作披露须由作者按真实情况补齐。版式参考已取得全文的领域RAG实证论文，采用单栏与可编辑表格；不复制出版社刊头或出版身份。作者信息核对并选定目标期刊后，仍需按其模板整理。篇幅和图表数量不构成期刊分区或录用保证。跨年度与Agent扩展材料保留在原合并扩展稿中，不计入本聚焦稿的主结果。</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