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预算回放、BM25对照、来源删除和同系列服务版本分析用于补充解释，详见补充材料；这些探索性分析不作为主文的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配置简化、来源删除、预算及排序诊断等扩展分析置于补充材料，保留其探索性定位、负结果与失败记录。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这些工作聚焦年报内部问答基准；本文研究的是公司披露与独立法规证据的联合评价，并在已有20家公司60题的双人评分上区分来源分路与提示约束。本文不将金融文档检索或年报QA基准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更细的候选预算、BM25与定位粒度、结构引用和调用资源诊断见补充材料；这些分析用于解释运行边界，不与主实验评分合并。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[30]。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一个面向实际文件的系统而言，原文可回放和来源组织清晰有独立的工程价值。它们使材料可回放，便于事后复核时定位所用材料，并为区分解析、检索、上下文组装和生成错误提供记录。然而，这种工程价值不能抵消回答质量上的负结果；如果简化配置更好，应保留该现象，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[30]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