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widowControl/>
      </ns0:pPr>
      <ns0:r>
        <ns0:t>年报与法规双源检索增强生成的受控评价与证据覆盖分析</ns0:t>
      </ns0:r>
    </ns0:p>
    <ns0:p>
      <ns0:pPr>
        <ns0:widowControl/>
      </ns0:pPr>
      <ns0:r>
        <ns0:t>Controlled Evaluation and Evidence-Coverage Analysis of Dual-source Retrieval-Augmented Generation over Annual Reports and Regulations</ns0:t>
      </ns0:r>
    </ns0:p>
    <ns0:p>
      <ns0:pPr>
        <ns0:pStyle ns0:val="Heading1"/>
      </ns0:pPr>
      <ns0:r>
        <ns0:t>摘要</ns0:t>
      </ns0:r>
    </ns0:p>
    <ns0:p>
      <ns0:pPr>
        <ns0:widowControl/>
      </ns0:pPr>
      <ns0:r>
        <ns0:t>上市公司评价既需要年报披露，也需要相应法规依据。本文考察在年报与法规问答中，按来源分路检索相较合并检索能否改善回答质量及证据供给。我们构建保留文档身份和原文坐标的双源检索增强生成流程，在20家公司2024年年报的60个问题上比较合并检索与双路检索，并在完全复用双路检索上下文的条件下单独测试来源角色提示。主对照原计划180个Kimi供应商请求，首轮147个结构有效；33条会话补充回答未执行冻结提示及API协议，其中31条曾进入旧评分汇总，现全部排除。过滤后保留355/400个供应商生成输出的双人评分。G2相较G1在41个可配对问题上的0至8分公司宏均差为0.228（已观察配对样本上的20,000次公司聚类bootstrap点对点95%区间[0.110, 0.355]），但全60题的缺失数据界跨0。G3相较G2在38个配对问题上的差为0.013（已观察配对样本上的区间[0.000, 0.039]）。双路检索使组装上下文中年报与法规两类来源的同现率由68.3%升至100%；但两类来源目标位置覆盖的宏平均未提高，法规参考位置覆盖仍有限。观察到的总分差异主要集中在法规评分维度；引用及不确定性维度存在天花板。结果仅适用于本研究样本、模型和评分协议。</ns0:t>
      </ns0:r>
    </ns0:p>
    <ns0:p>
      <ns0:pPr>
        <ns0:widowControl/>
      </ns0:pPr>
      <ns0:r>
        <ns0:t>关键词：检索增强生成；年度报告；法规证据；来源追溯；预算回放；人工评价</ns0:t>
      </ns0:r>
    </ns0:p>
    <ns0:p>
      <ns0:pPr>
        <ns0:pStyle ns0:val="Heading1"/>
      </ns0:pPr>
      <ns0:r>
        <ns0:t>Abstract</ns0:t>
      </ns0:r>
    </ns0:p>
    <ns0:p>
      <ns0:pPr>
        <ns0:widowControl/>
      </ns0:pPr>
      <ns0:r>
        <ns0:t>Listed-company evaluation requires both annual-report disclosures and relevant regulatory evidence. This study asks whether source-separated retrieval improves answer ratings and evidence supply over pooled retrieval. We build a traceable dual-source RAG pipeline and compare merged with dual retrieval on 60 questions from the 2024 annual reports of 20 companies. We separately evaluate source-role prompting while reusing the exact context assembled by dual retrieval. The primary comparison planned 180 Kimi-provider requests; 147 were structurally valid in the first run. Thirty-three session-authored supplements did not execute the frozen prompt or API protocol; 31 had entered the earlier score summary and are now excluded. The filtered set contains 355 two-reviewer-scored provider outputs from 400 planned units. On 41 paired questions, the observed company-macro mean difference between dual and pooled retrieval is +0.228 points on a 0–8 scale (20,000-draw company-clustered pointwise 95% interval conditional on observed pairs: [0.110, 0.355]); however, the missing-outcome bounds for all 60 questions include zero. The observed difference between source-role prompting and dual retrieval is +0.013 points on 38 paired questions (interval conditional on observed pairs: [0.000, 0.039]). Dual retrieval increased the joint presence of annual-report and regulatory evidence in assembled contexts from 68.3% to 100%; however, the macro-average of the two source-specific reference-location coverage rates did not improve, and regulatory coverage remained limited. The observed score difference is concentrated in the regulation dimension; citation and uncertainty ratings show ceiling effects. These findings are limited to the sampled companies, model configuration, observed pairs, and rating protocol.</ns0:t>
      </ns0:r>
    </ns0:p>
    <ns0:p>
      <ns0:pPr>
        <ns0:widowControl/>
      </ns0:pPr>
      <ns0:r>
        <ns0:t>Keywords: retrieval-augmented generation; annual reports; regulatory evidence; provenance; context-budget replay; human evaluation</ns0:t>
      </ns0:r>
    </ns0:p>
    <ns0:p>
      <ns0:pPr>
        <ns0:pStyle ns0:val="Heading1"/>
      </ns0:pPr>
      <ns0:r>
        <ns0:t>1 引言</ns0:t>
      </ns0:r>
    </ns0:p>
    <ns0:p>
      <ns0:pPr>
        <ns0:widowControl/>
      </ns0:pPr>
      <ns0:r>
        <ns0: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ns0:t>
      </ns0:r>
    </ns0:p>
    <ns0:p>
      <ns0:pPr>
        <ns0:widowControl/>
      </ns0:pPr>
      <ns0:r>
        <ns0:t>在合并候选检索设置中，两类片段进入同一个按问题相关性排序的候选列表；相关性排序本身并不显式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ns0:t>
      </ns0:r>
    </ns0:p>
    <ns0:p>
      <ns0:pPr>
        <ns0:widowControl/>
      </ns0:pPr>
      <ns0:r>
        <ns0: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ns0:t>
      </ns0:r>
    </ns0:p>
    <ns0:p>
      <ns0:pPr>
        <ns0:widowControl/>
      </ns0:pPr>
      <ns0:r>
        <ns0:t>本文聚焦两个主要研究问题。RQ1：在相同问题、语料和生成配置下，按来源分路检索相较合并检索能否改善回答评分及可审计的证据供给？RQ2：在检索上下文逐字相同的条件下，来源角色提示是否带来额外评分收益？来源删除和同系列服务版本比较保留为主文中的探索性对照；预算配额回放与重新执行BM25的检索定位诊断见补充材料S1–S2。这些分析不作为独立研究问题或普遍性结论。</ns0:t>
      </ns0:r>
    </ns0:p>
    <ns0:p>
      <ns0:pPr>
        <ns0:widowControl/>
      </ns0:pPr>
      <ns0:r>
        <ns0:t>本文的工作包括：构建保留文档身份、物理位置和实际提示记录的双源RAG流程；通过G1合并检索、G2双路检索和相同检索证据下的G3角色提示，分别考察检索组织与提示的作用；在20家公司60题和双人评分上报告公司聚类配对分析，并区分两类来源是否供给、目标位置是否覆盖和回答评分。本文不把现成组件组合宣称为新检索算法，也不以引用编号有效替代语义支持。</ns0:t>
      </ns0:r>
    </ns0:p>
    <ns0:p>
      <ns0:pPr>
        <ns0:widowControl/>
      </ns0:pPr>
      <ns0:r>
        <ns0:t>在当前受控比较中，双路检索相对合并检索呈现正向评分差异，而同上下文的角色提示未显示稳定增益。主文据此讨论来源组织与证据覆盖之间的关系，并明确结果仅适用于本研究的样本、模型配置和评分协议。去重排、已保存BM25生成、来源缺失及同系列服务版本等探索性对照保留在主文结果中；预算回放和新BM25定位粒度诊断置于补充材料S1–S2。系统流程见图1。</ns0:t>
      </ns0:r>
      <ns0:r/>
    </ns0:p>
    <ns0:p>
      <ns0:pPr>
        <ns0:keepNext/>
      </ns0:pPr>
      <ns0:r>
        <ns0:drawing>
          <ns2:inline>
            <ns2:extent cx="5868000" cy="2726175"/>
            <ns2:docPr id="1" name="Picture 1"/>
            <ns2:cNvGraphicFramePr>
              <ns3:graphicFrameLocks noChangeAspect="1"/>
            </ns2:cNvGraphicFramePr>
            <ns3:graphic>
              <ns3:graphicData uri="http://schemas.openxmlformats.org/drawingml/2006/picture">
                <ns4:pic>
                  <ns4:nvPicPr>
                    <ns4:cNvPr id="0" name="fig01_schematic.png"/>
                    <ns4:cNvPicPr/>
                  </ns4:nvPicPr>
                  <ns4:blipFill>
                    <ns3:blip ns5:embed="rId10"/>
                    <ns3:stretch>
                      <ns3:fillRect/>
                    </ns3:stretch>
                  </ns4:blipFill>
                  <ns4:spPr>
                    <ns3:xfrm>
                      <ns3:off x="0" y="0"/>
                      <ns3:ext cx="5868000" cy="2726175"/>
                    </ns3:xfrm>
                    <ns3:prstGeom prst="rect"/>
                  </ns4:spPr>
                </ns4:pic>
              </ns3:graphicData>
            </ns3:graphic>
          </ns2:inline>
        </ns0:drawing>
      </ns0:r>
    </ns0:p>
    <ns0:p>
      <ns0:pPr>
        <ns0:pStyle ns0:val="Caption"/>
        <ns0:widowControl/>
      </ns0:pPr>
      <ns0:r>
        <ns0:t>图1 系统流程与可回放记录。年报和法规独立限定作用域，经检索、重排与整块预算组装形成实际上下文；来源坐标不等于语义支持。</ns0:t>
      </ns0:r>
    </ns0:p>
    <ns0:p>
      <ns0:pPr>
        <ns0:pStyle ns0:val="Heading1"/>
      </ns0:pPr>
      <ns0:r>
        <ns0:t>2 相关工作与研究定位</ns0:t>
      </ns0:r>
    </ns0:p>
    <ns0:p>
      <ns0:pPr>
        <ns0:pStyle ns0:val="Heading2"/>
      </ns0:pPr>
      <ns0:r>
        <ns0:t>2.1 金融文档问答与领域证据</ns0:t>
      </ns0:r>
    </ns0:p>
    <ns0:p>
      <ns0:pPr>
        <ns0:widowControl/>
      </ns0:pPr>
      <ns0:r>
        <ns0: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也说明长文档组织与补充查询已有先行研究。</ns0:t>
      </ns0:r>
    </ns0:p>
    <ns0:p>
      <ns0:pPr>
        <ns0:widowControl/>
      </ns0:pPr>
      <ns0:r>
        <ns0:t xml:space="preserve">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Cheng等提出CFinRAG，以中文金融研究报告构建金融事件知识图谱，结合查询重构与双层检索，并在1,200份报告和3,600组问答上评测[30]。这些工作分别关注年报内部问答和图谱化金融事件推理；本文研究公司披露与独立法规证据的联合评价，并在20家公司60题上比较来源分路与合并检索，同时单独考察角色提示。本文不将金融文档检索、年报QA基准或金融知识图谱构建本身宣称为独立创新。</ns0:t>
      </ns0:r>
    </ns0:p>
    <ns0:p>
      <ns0:pPr>
        <ns0:widowControl/>
      </ns0:pPr>
      <ns0:r>
        <ns0: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ns0:t>
      </ns0:r>
    </ns0:p>
    <ns0:p>
      <ns0:pPr>
        <ns0:pStyle ns0:val="Heading2"/>
      </ns0:pPr>
      <ns0:r>
        <ns0:t>2.2 稀疏稠密检索与领域增强</ns0:t>
      </ns0:r>
    </ns0:p>
    <ns0:p>
      <ns0:pPr>
        <ns0:widowControl/>
      </ns0:pPr>
      <ns0:r>
        <ns0: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ns0:t>
      </ns0:r>
    </ns0:p>
    <ns0:p>
      <ns0:pPr>
        <ns0:widowControl/>
      </ns0:pPr>
      <ns0:r>
        <ns0: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ns0:t>
      </ns0:r>
    </ns0:p>
    <ns0:p>
      <ns0:pPr>
        <ns0:pStyle ns0:val="Heading2"/>
      </ns0:pPr>
      <ns0:r>
        <ns0:t>2.3 迭代检索与智能体协作</ns0:t>
      </ns0:r>
    </ns0:p>
    <ns0:p>
      <ns0:pPr>
        <ns0:widowControl/>
      </ns0:pPr>
      <ns0:r>
        <ns0: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ns0:t>
      </ns0:r>
    </ns0:p>
    <ns0:p>
      <ns0:pPr>
        <ns0:widowControl/>
      </ns0:pPr>
      <ns0:r>
        <ns0: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ns0:t>
      </ns0:r>
    </ns0:p>
    <ns0:p>
      <ns0:pPr>
        <ns0:pStyle ns0:val="Heading2"/>
      </ns0:pPr>
      <ns0:r>
        <ns0:t>2.4 引用评价与专业任务有效性</ns0:t>
      </ns0:r>
    </ns0:p>
    <ns0:p>
      <ns0:pPr>
        <ns0:widowControl/>
      </ns0:pPr>
      <ns0:r>
        <ns0:t>ALCE将生成与引用质量纳入评价[19]；RAGAs提供自动化评价方法[20]；RAGChecker进一步分解检索和生成环节[21]。这些框架分别涉及答案与引用质量、检索上下文与忠实度、检索和生成的细粒度诊断，提示仅凭答案表面质量或引用可解析性难以全面刻画RAG表现。本文将请求成功、结构有效、来源可回放、人员质量评分和法规适用性分开报告，且不把模型自报的支持状态用于替代人员判断。</ns0:t>
      </ns0:r>
    </ns0:p>
    <ns0:p>
      <ns0:pPr>
        <ns0:widowControl/>
      </ns0:pPr>
      <ns0:r>
        <ns0: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ns0:t>
      </ns0:r>
      <ns0:r>
        <ns0:t xml:space="preserve"> 代表性研究与本研究的差异归纳见表1。</ns0:t>
      </ns0:r>
    </ns0:p>
    <ns0:p>
      <ns0:pPr>
        <ns0:pStyle ns0:val="Caption"/>
        <ns0:keepNext/>
        <ns0:widowControl/>
      </ns0:pPr>
      <ns0:r>
        <ns0:t>表1 代表性研究与本研究的区别</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研究</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主要处理对象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本文采用或比较的边界</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FinQA / TAT-QA [2,3]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金融报告数值与混合内容问答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任务相关；本研究聚焦披露与规范联合依据</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ARQA / CFQA [28,29]</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年报表格—文本QA基准与答案证据评估</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聚焦年报内部问答；本文补充法规来源角色与来源组织对照</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HiREC [4]</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金融文件层级检索与证据整理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不将金融检索本身宣称为新方法</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CFinRAG [30]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中文金融事件知识图谱与研究报告问答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图谱化金融事件QA；本文比较年报披露与独立法规证据的来源组织，不以图谱构建为贡献</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领域知识RAG [5,6,11]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领域知识表示与检索增强</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借鉴组件控制；不复制本体或知识图谱</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Self-RAG / CRAG [12,13]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自反思或纠正检索</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未忠实复现；不填入性能对照表</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Adaptive-RAG / AIR-RAG [14,15]</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自适应与迭代检索</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作为后续强基线，当前仅固定检索</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CoLE / MADKE [17,18]</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法律专家提示与知识增强辩论</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当前系统不称为多智能体</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ALCE / RAGAs / RAGChecker [19–21]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引用与细粒度质量评价</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区分结构、语义和实际人员评分</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LegalBench-RAG [22]</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法律片段证据定位</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本研究页级标签不冒称穷尽片段qrels</ns0:t>
            </ns0:r>
          </ns0:p>
        </ns0:tc>
      </ns0:tr>
    </ns0:tbl>
    <ns0:p>
      <ns0:pPr>
        <ns0:pStyle ns0:val="Heading1"/>
      </ns0:pPr>
      <ns0:r>
        <ns0:t>3 双源检索与可追溯生成方法</ns0:t>
      </ns0:r>
    </ns0:p>
    <ns0:p>
      <ns0:pPr>
        <ns0:pStyle ns0:val="Heading2"/>
      </ns0:pPr>
      <ns0:r>
        <ns0:t>3.1 输入输出与研究对象</ns0:t>
      </ns0:r>
    </ns0:p>
    <ns0:p>
      <ns0:pPr>
        <ns0:widowControl/>
      </ns0:pPr>
      <ns0:r>
        <ns0: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ns0:t>
      </ns0:r>
      <ns0:r>
        <ns0:t xml:space="preserve"> 符号及其含义见表2。</ns0:t>
      </ns0:r>
    </ns0:p>
    <ns0:p>
      <ns0:pPr>
        <ns0:widowControl/>
      </ns0:pPr>
      <ns0:r>
        <ns0: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ns0:t>
      </ns0:r>
    </ns0:p>
    <ns0:p>
      <ns0:pPr>
        <ns0:pStyle ns0:val="Caption"/>
        <ns0:keepNext/>
        <ns0:widowControl/>
      </ns0:pPr>
      <ns0:r>
        <ns0:t>表2 符号与含义</ns0:t>
      </ns0:r>
    </ns0:p>
    <ns0:tbl>
      <ns0:tblPr>
        <ns0:tblStyle ns0:val="TableGrid"/>
        <ns0:tblW ns0:type="auto" ns0:w="0"/>
        <ns0:tblLayout ns0:type="fixed"/>
        <ns0:tblLook ns0:firstColumn="1" ns0:firstRow="1" ns0:lastColumn="0" ns0:lastRow="0" ns0:noHBand="0" ns0:noVBand="1" ns0:val="04A0"/>
      </ns0:tblPr>
      <ns0:tblGrid>
        <ns0:gridCol ns0:w="1984"/>
        <ns0:gridCol ns0:w="7540"/>
      </ns0:tblGrid>
      <ns0:tr>
        <ns0:trPr>
          <ns0:tblHeader ns0:val="1"/>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符号</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定义</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x=(c,y,q)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公司、报告年度和评价问题</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D_A(c,y), D_R(q)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年报和法规的合格检索作用域</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H_A,H_R,H_M</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两类独立候选与合并候选序列</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K_A,K_R,K</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来源候选配额及总上限</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B,T(E)</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上下文参考token上限及计数</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E_M,E_D</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合并检索与双路检索实际上下文</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C,L</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实质论断集合及论断—证据关联</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Q_i,Δ_c</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回答探索性质量总分及公司内配对差</ns0:t>
            </ns0:r>
          </ns0:p>
        </ns0:tc>
      </ns0:tr>
    </ns0:tbl>
    <ns0:p>
      <ns0:pPr>
        <ns0:pStyle ns0:val="Heading2"/>
      </ns0:pPr>
      <ns0:r>
        <ns0:t>3.2 文档身份与位置表示</ns0:t>
      </ns0:r>
    </ns0:p>
    <ns0:p>
      <ns0:pPr>
        <ns0:widowControl/>
      </ns0:pPr>
      <ns0:r>
        <ns0:t>每份文档首先登记来源、公司及年度、全文或摘要身份、版本信息和文件SHA256。年报PDF按物理页建立文本帧，片段保存文件哈希、页面文本哈希、从1开始的物理页序及字符起止区间。检索索引使用从1开始的PDF物理页序。人工来源核验时，若页面标有印刷页码则另行记录；两类页码不互相替代，也不通过文件名推测页码。OCR文字保留其解析来源及未核实状态，原PDF保持不变。</ns0:t>
      </ns0:r>
    </ns0:p>
    <ns0:p>
      <ns0:pPr>
        <ns0:widowControl/>
      </ns0:pPr>
      <ns0:r>
        <ns0: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ns0:t>
      </ns0:r>
    </ns0:p>
    <ns0:p>
      <ns0:pPr>
        <ns0:widowControl/>
      </ns0:pPr>
      <ns0:r>
        <ns0: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ns0:t>
      </ns0:r>
      <ns0:r>
        <ns0:t xml:space="preserve"> 来源记录字段及其核验层次见表3。</ns0:t>
      </ns0:r>
    </ns0:p>
    <ns0:p>
      <ns0:pPr>
        <ns0:pStyle ns0:val="Caption"/>
        <ns0:keepNext/>
        <ns0:widowControl/>
      </ns0:pPr>
      <ns0:r>
        <ns0:t>表3 来源记录与各检查层次</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记录或检查</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保存内容</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能够说明的范围</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文件身份</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来源、版本、SHA256</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文件字节与声明身份的关联</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PDF位置</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物理页、文本帧哈希、字符区间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片段可以回到实际页面</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文本法规</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文件哈希、条号与字符区间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不伪造PDF页码</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上下文回放</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实际片段ID、prompt/context哈希</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实际提供给模型的材料</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引用ID校验</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引用是否来自提供的ID集合</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仅结构可解析</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人员原文评分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事实、法规、引用和不确定性</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探索性质量判断</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时点适用</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事项日期、有效期间及版本</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需独立证据；本轮未全面验证</ns0:t>
            </ns0:r>
          </ns0:p>
        </ns0:tc>
      </ns0:tr>
    </ns0:tbl>
    <ns0:p>
      <ns0:pPr>
        <ns0:pStyle ns0:val="Heading2"/>
      </ns0:pPr>
      <ns0:r>
        <ns0:rPr>
          <ns0:rFonts ns0:ascii="Microsoft YaHei" ns0:hAnsi="Microsoft YaHei" ns0:eastAsia="Microsoft YaHei"/>
        </ns0:rPr>
        <ns0:t>3.3 双作用域检索与固定融合</ns0:t>
      </ns0:r>
    </ns0:p>
    <ns0:p>
      <ns0:pPr>
        <ns0:widowControl/>
      </ns0:pPr>
      <ns0:r>
        <ns0: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ns0:t>
      </ns0:r>
    </ns0:p>
    <ns0:p>
      <ns0:pPr>
        <ns0:widowControl/>
      </ns0:pPr>
      <ns0:r>
        <ns0: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ns0:t>
      </ns0:r>
    </ns0:p>
    <ns0:p>
      <ns0:pPr>
        <ns0:widowControl/>
      </ns0:pPr>
      <ns0:r>
        <ns0:t>G1把两类资料的合格片段放在共同候选池，按混合检索与重排结果取总候选上限10；G2分别在年报和法规作用域各取最多5个候选，两侧各自排序后按年报、法规交替组成候选序列，一侧耗尽后继续另一侧；G3直接复用G2组装后的上下文。两种策略的最终候选总上限相同，但内部通道召回与重排工作量不等同。双路并不保证所有问题都取得足量年报证据，原因包括上游召回不足、片段过长和总预算裁剪。新增回放实验直接测量这些条件。</ns0:t>
      </ns0:r>
    </ns0:p>
    <ns0:p>
      <ns0:pPr>
        <ns0:pStyle ns0:val="Heading2"/>
      </ns0:pPr>
      <ns0:r>
        <ns0:t>3.4 上下文组装与可比较性</ns0:t>
      </ns0:r>
    </ns0:p>
    <ns0:p>
      <ns0:pPr>
        <ns0:widowControl/>
      </ns0:pPr>
      <ns0:r>
        <ns0: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ns0:t>
      </ns0:r>
    </ns0:p>
    <ns0:p>
      <ns0:pPr>
        <ns0:widowControl/>
      </ns0:pPr>
      <ns0:r>
        <ns0: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ns0:t>
      </ns0:r>
    </ns0:p>
    <ns0:p>
      <ns0:pPr>
        <ns0:widowControl/>
      </ns0:pPr>
      <ns0:r>
        <ns0: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ns0:t>
      </ns0:r>
    </ns0:p>
    <ns0:p>
      <ns0:pPr>
        <ns0:widowControl/>
      </ns0:pPr>
      <ns0:r>
        <ns0:t>G1: E_M=Pack_B(Top_K(D_A(c,y)∪D_R(q)));   G2: E_D=Pack_B(Merge(Top_KA(D_A), Top_KR(D_R)))。</ns0:t>
      </ns0:r>
    </ns0:p>
    <ns0:p>
      <ns0:pPr>
        <ns0:widowControl/>
      </ns0:pPr>
      <ns0:r>
        <ns0:t>G3: E_role=E_D；a_generic=LLM(P_generic,E_D)，a_role=LLM(P_role,E_D)。</ns0:t>
      </ns0:r>
    </ns0:p>
    <ns0:p>
      <ns0:pPr>
        <ns0:widowControl/>
      </ns0:pPr>
      <ns0:r>
        <ns0:t>上述等式描述实现中的条件控制关系，不是额外训练目标。候选排序、片段长度和访问顺序共同决定最终E，因而即使K_A=K_R，也须检查Pack后的来源数量。</ns0:t>
      </ns0:r>
    </ns0:p>
    <ns0:p>
      <ns0:pPr>
        <ns0:pStyle ns0:val="Heading2"/>
      </ns0:pPr>
      <ns0:r>
        <ns0:t>3.5 引用约束与来源角色</ns0:t>
      </ns0:r>
    </ns0:p>
    <ns0:p>
      <ns0:pPr>
        <ns0:widowControl/>
      </ns0:pPr>
      <ns0:r>
        <ns0: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ns0:t>
      </ns0:r>
    </ns0:p>
    <ns0:p>
      <ns0:pPr>
        <ns0:widowControl/>
      </ns0:pPr>
      <ns0:r>
        <ns0: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ns0:t>
      </ns0:r>
    </ns0:p>
    <ns0:p>
      <ns0:pPr>
        <ns0:widowControl/>
      </ns0:pPr>
      <ns0:r>
        <ns0: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ns0:t>
      </ns0:r>
      <ns0:r>
        <ns0:t xml:space="preserve"> 论断与来源关系示意见图2。</ns0:t>
      </ns0:r>
    </ns0:p>
    <ns0:p>
      <ns0:pPr>
        <ns0:keepNext/>
      </ns0:pPr>
      <ns0:r>
        <ns0:drawing>
          <ns2:inline>
            <ns2:extent cx="5868000" cy="2726175"/>
            <ns2:docPr id="2" name="Picture 2"/>
            <ns2:cNvGraphicFramePr>
              <ns3:graphicFrameLocks noChangeAspect="1"/>
            </ns2:cNvGraphicFramePr>
            <ns3:graphic>
              <ns3:graphicData uri="http://schemas.openxmlformats.org/drawingml/2006/picture">
                <ns4:pic>
                  <ns4:nvPicPr>
                    <ns4:cNvPr id="0" name="fig03_schematic.png"/>
                    <ns4:cNvPicPr/>
                  </ns4:nvPicPr>
                  <ns4:blipFill>
                    <ns3:blip ns5:embed="rId11"/>
                    <ns3:stretch>
                      <ns3:fillRect/>
                    </ns3:stretch>
                  </ns4:blipFill>
                  <ns4:spPr>
                    <ns3:xfrm>
                      <ns3:off x="0" y="0"/>
                      <ns3:ext cx="5868000" cy="2726175"/>
                    </ns3:xfrm>
                    <ns3:prstGeom prst="rect"/>
                  </ns4:spPr>
                </ns4:pic>
              </ns3:graphicData>
            </ns3:graphic>
          </ns2:inline>
        </ns0:drawing>
      </ns0:r>
    </ns0:p>
    <ns0:p>
      <ns0:pPr>
        <ns0:pStyle ns0:val="Caption"/>
        <ns0:widowControl/>
      </ns0:pPr>
      <ns0:r>
        <ns0:t>图2 论断—来源关系与核验层次。比较性结论需要相应事实与规范，但编号连线本身不证明语义支持或时点适用。</ns0:t>
      </ns0:r>
    </ns0:p>
    <ns0:p>
      <ns0:pPr>
        <ns0:pStyle ns0:val="Heading2"/>
      </ns0:pPr>
      <ns0:r>
        <ns0:t>3.6 复杂度与运行记录</ns0:t>
      </ns0:r>
    </ns0:p>
    <ns0:p>
      <ns0:pPr>
        <ns0:widowControl/>
      </ns0:pPr>
      <ns0:r>
        <ns0: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ns0:t>
      </ns0:r>
    </ns0:p>
    <ns0:p>
      <ns0:pPr>
        <ns0:widowControl/>
      </ns0:pPr>
      <ns0:r>
        <ns0: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ns0:t>
      </ns0:r>
    </ns0:p>
    <ns0:p>
      <ns0:pPr>
        <ns0:pStyle ns0:val="Heading1"/>
      </ns0:pPr>
      <ns0:r>
        <ns0:t>4 数据与实验协议</ns0:t>
      </ns0:r>
    </ns0:p>
    <ns0:p>
      <ns0:pPr>
        <ns0:pStyle ns0:val="Heading2"/>
      </ns0:pPr>
      <ns0:r>
        <ns0:t>4.1 文档库与问题集合</ns0:t>
      </ns0:r>
    </ns0:p>
    <ns0:p>
      <ns0:pPr>
        <ns0:widowControl/>
      </ns0:pPr>
      <ns0:r>
        <ns0: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ns0:t>
      </ns0:r>
    </ns0:p>
    <ns0:p>
      <ns0:pPr>
        <ns0:widowControl/>
      </ns0:pPr>
      <ns0:r>
        <ns0: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ns0:t>
      </ns0:r>
      <ns0:r>
        <ns0:t xml:space="preserve"> 语料范围和标注构成汇总见表4。</ns0:t>
      </ns0:r>
    </ns0:p>
    <ns0:p>
      <ns0:pPr>
        <ns0:pStyle ns0:val="Caption"/>
        <ns0:keepNext/>
        <ns0:widowControl/>
      </ns0:pPr>
      <ns0:r>
        <ns0:t>表4 语料与标注范围</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对象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数量</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解释</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合格年报库</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39份 / 13038片段</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39个来源哈希，全部有物理页</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合格法规库</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87份 / 5994片段</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87个来源哈希；289个片段有物理页字段</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质量问题集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20公司 / 60题</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2024年；3主题各20题</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参考要点</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180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问题级评分依据，非穷尽公司事实库</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参考证据</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123条 / 256次关联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t>122条PDF参考与1条TXT参考的定位均在索引中存在</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全条件供应商输出评分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355回答 × 2人 × 4维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2840个0/1/2评分值；33条会话补充输出不纳入，其中31条曾进入旧版评分汇总</ns0:t>
            </ns0:r>
          </ns0:p>
        </ns0:tc>
      </ns0:tr>
    </ns0:tbl>
    <ns0:p>
      <ns0:pPr>
        <ns0:pStyle ns0:val="Heading2"/>
      </ns0:pPr>
      <ns0:r>
        <ns0:t>4.2 比较条件与变量隔离</ns0:t>
      </ns0:r>
    </ns0:p>
    <ns0:p>
      <ns0:pPr>
        <ns0:widowControl/>
      </ns0:pPr>
      <ns0:r>
        <ns0: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ns0:t>
      </ns0:r>
    </ns0:p>
    <ns0:p>
      <ns0:pPr>
        <ns0:widowControl/>
      </ns0:pPr>
      <ns0:r>
        <ns0: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ns0:t>
      </ns0:r>
    </ns0:p>
    <ns0:p>
      <ns0:pPr>
        <ns0:widowControl/>
      </ns0:pPr>
      <ns0:r>
        <ns0:t>同系列服务版本比较在同一20题上各执行三条件，共60个单元。供应商资料将kimi-for-coding对应为K2.8 Preview [24]；两个服务别名的底层checkpoint均未独立验证。K3与kimi-for-coding请求均未发送reasoning_effort参数。供应商2026-10-20说明将两者默认档位分别列为high和max，但响应未记录可独立核验的服务端实际档位。因此本比较未统一推理预算，不能解释为等预算的模型权重比较，也不是跨厂商模型族泛化。</ns0:t>
      </ns0:r>
      <ns0:r>
        <ns0:t xml:space="preserve"> 实际比较条件与分析范围见表5，变量隔离示意见图3。</ns0:t>
      </ns0:r>
    </ns0:p>
    <ns0:p>
      <ns0:pPr>
        <ns0:pStyle ns0:val="Caption"/>
        <ns0:keepNext/>
        <ns0:widowControl/>
      </ns0:pPr>
      <ns0:r>
        <ns0:t>表5 主文与补充分析范围</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分析</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计划规模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主要控制与边界</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主文 主对照</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60×3=180回答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G1/G2/G3；仅计冻结供应商调用输出</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检索消融</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60×2=120回答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去重排、仅BM25；非所有配置全面因子设计</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来源缺失</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20×2=40回答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删来源不重检索；信息与长度同时变化</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同系列服务版本</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20×3=60回答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t>同系列别名；思考预算未显式统一</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补充材料 预算回放</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60×2×3×5=1800上下文</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固定候选排序；非1800条新生成回答</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供应商输出评分与稳健性诊断</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355输出 / 400计划单元</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排除33条会话补充回答；355条供应商输出由两人评分</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补充材料 BM25重跑</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60题×2策略</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完整合格作用域CPU BM25；与缓存神经候选分开解释</ns0:t>
            </ns0:r>
          </ns0:p>
        </ns0:tc>
      </ns0:tr>
    </ns0:tbl>
    <ns0:p>
      <ns0:pPr>
        <ns0:keepNext/>
      </ns0:pPr>
      <ns0:r>
        <ns0:drawing>
          <ns2:inline>
            <ns2:extent cx="5868000" cy="2726175"/>
            <ns2:docPr id="3" name="Picture 3"/>
            <ns2:cNvGraphicFramePr>
              <ns3:graphicFrameLocks noChangeAspect="1"/>
            </ns2:cNvGraphicFramePr>
            <ns3:graphic>
              <ns3:graphicData uri="http://schemas.openxmlformats.org/drawingml/2006/picture">
                <ns4:pic>
                  <ns4:nvPicPr>
                    <ns4:cNvPr id="0" name="fig02_schematic.png"/>
                    <ns4:cNvPicPr/>
                  </ns4:nvPicPr>
                  <ns4:blipFill>
                    <ns3:blip ns5:embed="rId12"/>
                    <ns3:stretch>
                      <ns3:fillRect/>
                    </ns3:stretch>
                  </ns4:blipFill>
                  <ns4:spPr>
                    <ns3:xfrm>
                      <ns3:off x="0" y="0"/>
                      <ns3:ext cx="5868000" cy="2726175"/>
                    </ns3:xfrm>
                    <ns3:prstGeom prst="rect"/>
                  </ns4:spPr>
                </ns4:pic>
              </ns3:graphicData>
            </ns3:graphic>
          </ns2:inline>
        </ns0:drawing>
      </ns0:r>
    </ns0:p>
    <ns0:p>
      <ns0:pPr>
        <ns0:pStyle ns0:val="Caption"/>
        <ns0:widowControl/>
      </ns0:pPr>
      <ns0:r>
        <ns0:t>图3 变量隔离与扩展实验设计。回放改变候选配额和组装预算，不改变历史评分输出。</ns0:t>
      </ns0:r>
    </ns0:p>
    <ns0:p>
      <ns0:pPr>
        <ns0:pStyle ns0:val="Heading2"/>
      </ns0:pPr>
      <ns0:r>
        <ns0:t>4.3 实现参数与执行失败</ns0:t>
      </ns0:r>
    </ns0:p>
    <ns0:p>
      <ns0:pPr>
        <ns0:widowControl/>
      </ns0:pPr>
      <ns0:r>
        <ns0: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ns0:t>
      </ns0:r>
    </ns0:p>
    <ns0:p>
      <ns0:pPr>
        <ns0:widowControl/>
      </ns0:pPr>
      <ns0:r>
        <ns0:t>主生成temperature为1，最大输出16384 tokens，请求超时600秒，SDK自动重试为0，每个题目—条件执行一次主请求。调度随机种子42没有发送为生成随机种子，不能据此宣称可精确复现采样。准备阶段因供应商参数限制或截断发生的请求设置修订及错误回执均保存。首轮180个主对照请求中147个结构有效、33个失败。随后保存的33条补充回答由当前助手会话撰写，未执行冻结提示，新增供应商API调用为0；31条曾被双人评分，2条未评分。因生成来源和协议不同，33条均从受控比较及全条件统计中排除。</ns0:t>
      </ns0:r>
    </ns0:p>
    <ns0:p>
      <ns0:pPr>
        <ns0:pStyle ns0:val="Heading2"/>
      </ns0:pPr>
      <ns0:r>
        <ns0:t>4.4 双人评分与可测量内容</ns0:t>
      </ns0:r>
    </ns0:p>
    <ns0:p>
      <ns0:pPr>
        <ns0:widowControl/>
      </ns0:pPr>
      <ns0:r>
        <ns0:t>两位人员分别对实际回答核对原文。主对照仅纳入147条首轮供应商API结构有效输出；所有实验条件过滤后共保留355条供应商输出的双人评分。评分包含公司事实、法规依据、引用支持和不确定性处理，每维0、1、2或U。只有两人四维均为数值时计算均分总量Q_i=(1/2)∑_r∑_j s_irj，范围0至8。本轮纳入评分的输出没有U；失败与未运行不填质量0分。均分是分析指标，不是分歧裁定或一致金标。 四个维度的0、1、2分判据及U的处理见补充表S0；该简化量表在检查部分回答后制定，因此相关评分与比较均属探索性。</ns0:t>
      </ns0:r>
    </ns0:p>
    <ns0:p>
      <ns0:pPr>
        <ns0:widowControl/>
      </ns0:pPr>
      <ns0:r>
        <ns0: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ns0:t>
      </ns0:r>
    </ns0:p>
    <ns0:p>
      <ns0:pPr>
        <ns0:widowControl/>
      </ns0:pPr>
      <ns0:r>
        <ns0: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ns0:t>
      </ns0:r>
    </ns0:p>
    <ns0:p>
      <ns0:pPr>
        <ns0:pStyle ns0:val="Heading2"/>
      </ns0:pPr>
      <ns0:r>
        <ns0:t>4.5 配对估计与缺失敏感性</ns0:t>
      </ns0:r>
    </ns0:p>
    <ns0:p>
      <ns0:pPr>
        <ns0:widowControl/>
      </ns0:pPr>
      <ns0:r>
        <ns0:t>对同一问题匹配两个条件，先计算每家公司内可观测配对差值，再对公司等权平均。本文报告的供应商输出重分析主比较、逐维度及主题诊断均按公司为重采样簇进行20,000次percentile bootstrap（seed 20261028），报告探索性点对点95%区间；不作多重比较校正。区间以可观测配对为条件；缺失配对另以0至8分量表端点计算全60题代数界，二者估计对象不同。</ns0:t>
      </ns0:r>
    </ns0:p>
    <ns0:p>
      <ns0:pPr>
        <ns0:widowControl/>
      </ns0:pPr>
      <ns0:r>
        <ns0: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ns0:t>
      </ns0:r>
    </ns0:p>
    <ns0:p>
      <ns0:pPr>
        <ns0:widowControl/>
      </ns0:pPr>
      <ns0:r>
        <ns0: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ns0:t>
      </ns0:r>
    </ns0:p>
    <ns0:p>
      <ns0:pPr>
        <ns0:pStyle ns0:val="Heading2"/>
      </ns0:pPr>
      <ns0:r>
        <ns0:t>4.6 来源供给与检索诊断</ns0:t>
      </ns0:r>
    </ns0:p>
    <ns0:p>
      <ns0:pPr>
        <ns0:widowControl/>
      </ns0:pPr>
      <ns0:r>
        <ns0:t>主文仅报告主实验的来源供给与目标位置代理。依据60题merged/dual Top-10保存排序，按参考证据的原始文件身份和页码计算双源共现、来源均衡与严格位置覆盖；文件级TXT参考与PDF页级参考分开报告。指标表示候选或参考位置是否匹配，不判断片段语义支持、等价替代或法规时点适用。主实验排序没有同题相关性金标准；独立40题开发集qrels与主实验题目ID无交集，因此不计算标准Precision@k、Recall@k或nDCG@k。候选预算回放和重新执行BM25的方法与结果见补充材料S1–S2。</ns0:t>
      </ns0:r>
    </ns0:p>
    <ns0:p>
      <ns0:pPr>
        <ns0:pStyle ns0:val="Heading1"/>
      </ns0:pPr>
      <ns0:r>
        <ns0:t>5 主实验与评分诊断</ns0:t>
      </ns0:r>
    </ns0:p>
    <ns0:p>
      <ns0:pPr>
        <ns0:pStyle ns0:val="Heading2"/>
      </ns0:pPr>
      <ns0:r>
        <ns0:t>5.1 运行覆盖与质量分布</ns0:t>
      </ns0:r>
    </ns0:p>
    <ns0:p>
      <ns0:pPr>
        <ns0:widowControl/>
      </ns0:pPr>
      <ns0:r>
        <ns0:t>400个计划供应商请求中，主对照首轮147个、检索消融109个、来源缺失40个、同系列第二版本59个，共355个结构有效输出且取得双人评分。另有33条会话补充回答，其中31条被旧评分清单收录；它们未执行冻结的Kimi提示和API协议，现已排除。排除补充回答后，45个计划供应商单元没有合格输出。有效表示供应商返回且通过结构检查，不表示事实、引用或法规适用性正确。</ns0:t>
      </ns0:r>
    </ns0:p>
    <ns0:p>
      <ns0:pPr>
        <ns0:pStyle ns0:val="Caption"/>
        <ns0:keepNext/>
        <ns0:widowControl/>
      </ns0:pPr>
      <ns0:r>
        <ns0:t>表6 各条件可用输出数与回答级双人均分</ns0:t>
      </ns0:r>
    </ns0:p>
    <ns0:tbl>
      <ns0:tblPr>
        <ns0:tblStyle ns0:val="TableGrid"/>
        <ns0:tblW ns0:type="auto" ns0:w="0"/>
        <ns0:tblLayout ns0:type="fixed"/>
        <ns0:tblLook ns0:firstColumn="1" ns0:firstRow="1" ns0:lastColumn="0" ns0:lastRow="0" ns0:noHBand="0" ns0:noVBand="1" ns0:val="04A0"/>
      </ns0:tblPr>
      <ns0:tblGrid>
        <ns0:gridCol ns0:w="1905"/>
        <ns0:gridCol ns0:w="1905"/>
        <ns0:gridCol ns0:w="1905"/>
        <ns0:gridCol ns0:w="1905"/>
        <ns0:gridCol ns0:w="1905"/>
      </ns0:tblGrid>
      <ns0:tr>
        <ns0:trPr>
          <ns0:tblHeader ns0:val="1"/>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条件</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可用/计划</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双人均分</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人员1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人员2</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52/60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7.327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7.577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7.077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47/60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7.543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7.277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48/60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7.594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7.833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7.354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rerank</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55/60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7.764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BM25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54/60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7.704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8.000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annual</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6.675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7.000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6.350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regulation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6.925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7.500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7.150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19/20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7.579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7.789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7.368</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7.600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7.350</ns0:t>
            </ns0:r>
          </ns0:p>
        </ns0:tc>
      </ns0:tr>
    </ns0:tbl>
    <ns0:p>
      <ns0:pPr>
        <ns0:widowControl/>
      </ns0:pPr>
      <ns0:r>
        <ns0: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各条件输出覆盖与双人评分汇总见表6。</ns0:t>
      </ns0:r>
    </ns0:p>
    <ns0:p>
      <ns0:pPr>
        <ns0:pStyle ns0:val="Heading2"/>
      </ns0:pPr>
      <ns0:r>
        <ns0:rPr>
          <ns0:rFonts ns0:ascii="Microsoft YaHei" ns0:hAnsi="Microsoft YaHei" ns0:eastAsia="Microsoft YaHei"/>
        </ns0:rPr>
        <ns0:t>5.2 双路检索与角色提示的增量</ns0:t>
      </ns0:r>
    </ns0:p>
    <ns0:p>
      <ns0:pPr>
        <ns0:widowControl/>
      </ns0:pPr>
      <ns0:r>
        <ns0:t>在纳入的供应商输出中，G2−G1的41个已知配对问题公司宏差值为0.228，20,000次公司聚类bootstrap点对点95%区间为[0.110, 0.355]；G3−G1为0.289（42对，[0.158, 0.430]）。G3−G2仅有38个配对，差值为0.013（[0.000, 0.039]），其中1题G3较高、37题相同、没有观察到G3较低。区间以可用配对为条件，不校正多重比较，也不是预注册检验。由于G2/G3缺失较多，不能据可用配对区间推断全60题都存在正向收益；表10的全题缺失界均跨零。主要配对估计见表7，三个主条件的评分分布见图4。 分评分者计算的G2−G1公司宏均差仍为正：人员1为+0.263（公司聚类点对点95%区间[0.114, 0.430]），人员2为+0.193（[0.096, 0.289]）；G3−G2分别为+0.026（[0.000, 0.079]）和0.000（[0.000, 0.000]）。这些区间仅适用于已观察配对。</ns0:t>
      </ns0:r>
    </ns0:p>
    <ns0:p>
      <ns0:pPr>
        <ns0:pStyle ns0:val="Caption"/>
        <ns0:keepNext/>
        <ns0:widowControl/>
      </ns0:pPr>
      <ns0:r>
        <ns0:t>表7 主比较与检索基线对照的公司宏差值及点对点95%区间</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已知/计划</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公司宏差值</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r>
              <ns0:t>点对点95%公司聚类区间</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G2-G1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41/60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0.228</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[0.110, 0.355]</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G3-G2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38/60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0.013</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 0.039]</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42/60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0.289</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[0.158, 0.430]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G3-NoRerank</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-0.222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[-0.310, -0.130]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G3-BM25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-0.245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[-0.343, -0.157]</ns0:t>
            </ns0:r>
          </ns0:p>
        </ns0:tc>
      </ns0:tr>
    </ns0:tbl>
    <ns0:p>
      <ns0:pPr>
        <ns0:keepNext/>
      </ns0:pPr>
      <ns0:r>
        <ns0:drawing>
          <ns2:inline>
            <ns2:extent cx="5868000" cy="3520800"/>
            <ns2:docPr id="4" name="Picture 4"/>
            <ns2:cNvGraphicFramePr>
              <ns3:graphicFrameLocks noChangeAspect="1"/>
            </ns2:cNvGraphicFramePr>
            <ns3:graphic>
              <ns3:graphicData uri="http://schemas.openxmlformats.org/drawingml/2006/picture">
                <ns4:pic>
                  <ns4:nvPicPr>
                    <ns4:cNvPr id="0" name="original_paired_effects.png"/>
                    <ns4:cNvPicPr/>
                  </ns4:nvPicPr>
                  <ns4:blipFill>
                    <ns3:blip ns5:embed="rId28"/>
                    <ns3:stretch>
                      <ns3:fillRect/>
                    </ns3:stretch>
                  </ns4:blipFill>
                  <ns4:spPr>
                    <ns3:xfrm>
                      <ns3:off x="0" y="0"/>
                      <ns3:ext cx="5868000" cy="3520800"/>
                    </ns3:xfrm>
                    <ns3:prstGeom prst="rect"/>
                  </ns4:spPr>
                </ns4:pic>
              </ns3:graphicData>
            </ns3:graphic>
          </ns2:inline>
        </ns0:drawing>
      </ns0:r>
    </ns0:p>
    <ns0:p>
      <ns0:pPr>
        <ns0:pStyle ns0:val="Caption"/>
        <ns0:widowControl/>
      </ns0:pPr>
      <ns0:r>
        <ns0:t>图4 三个主条件的供应商输出评分与评分者差异。均值及点对点95%区间仅基于各条件可用输出，区间按公司聚类。</ns0:t>
      </ns0:r>
    </ns0:p>
    <ns0:p>
      <ns0:pPr>
        <ns0:pStyle ns0:val="Heading2"/>
      </ns0:pPr>
      <ns0:r>
        <ns0:t>5.3 逐维度分析</ns0:t>
      </ns0:r>
    </ns0:p>
    <ns0:p>
      <ns0:pPr>
        <ns0:widowControl/>
      </ns0:pPr>
      <ns0:r>
        <ns0:t>在可配对的供应商输出中，G2−G1的公司宏维度差异为：公司事实−0.009、法规依据+0.237、引用支持0.000、不确定性0.000，总分差+0.228。因此观察到的总分差主要集中在法规评分维度，不能改写为各方面质量普遍提高，也不能把法规评分变化解释为时点判定正确率。</ns0:t>
      </ns0:r>
    </ns0:p>
    <ns0:p>
      <ns0:pPr>
        <ns0:widowControl/>
      </ns0:pPr>
      <ns0:r>
        <ns0:t>G3−G2的总分接近0，也不意味着所有题目上行为相同：提示可以增加或改变模型的论断与引用结构，却未必改变人员的粗粒度评分。新增分析将这种表述变化与语义质量分开，避免把更多引用或更长回答当作更准确。</ns0:t>
      </ns0:r>
      <ns0:r>
        <ns0:t xml:space="preserve"> 逐维度配对效应见表8和图5。</ns0:t>
      </ns0:r>
    </ns0:p>
    <ns0:p>
      <ns0:pPr>
        <ns0:pStyle ns0:val="Caption"/>
        <ns0:keepNext/>
        <ns0:widowControl/>
      </ns0:pPr>
      <ns0:r>
        <ns0:t>表8 双人均分的维度配对效应 每维0至2 总分0至8</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配对数</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事实Δ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法规Δ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引用Δ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不确定性Δ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总分Δ</ns0:t>
            </ns0:r>
          </ns0:p>
        </ns0:tc>
      </ns0:tr>
      <ns0:tr>
        <ns0:tc>
          <ns0:tcPr>
            <ns0:tcW ns0:type="dxa" ns0:w="1361"/>
          </ns0:tcPr>
          <ns0:p>
            <ns0:r>
              <ns0:t>G2-G1</ns0:t>
            </ns0:r>
          </ns0:p>
        </ns0:tc>
        <ns0:tc>
          <ns0:tcPr>
            <ns0:tcW ns0:type="dxa" ns0:w="1361"/>
          </ns0:tcPr>
          <ns0:p>
            <ns0:r>
              <ns0:t>41</ns0:t>
            </ns0:r>
          </ns0:p>
        </ns0:tc>
        <ns0:tc>
          <ns0:tcPr>
            <ns0:tcW ns0:type="dxa" ns0:w="1361"/>
          </ns0:tcPr>
          <ns0:p>
            <ns0:r>
              <ns0:t>-0.009</ns0:t>
            </ns0:r>
          </ns0:p>
        </ns0:tc>
        <ns0:tc>
          <ns0:tcPr>
            <ns0:tcW ns0:type="dxa" ns0:w="1361"/>
          </ns0:tcPr>
          <ns0:p>
            <ns0:r>
              <ns0:t>0.237</ns0:t>
            </ns0:r>
          </ns0:p>
        </ns0:tc>
        <ns0:tc>
          <ns0:tcPr>
            <ns0:tcW ns0:type="dxa" ns0:w="1361"/>
          </ns0:tcPr>
          <ns0:p>
            <ns0:r>
              <ns0:t>0.000</ns0:t>
            </ns0:r>
          </ns0:p>
        </ns0:tc>
        <ns0:tc>
          <ns0:tcPr>
            <ns0:tcW ns0:type="dxa" ns0:w="1361"/>
          </ns0:tcPr>
          <ns0:p>
            <ns0:r>
              <ns0:t>0.000</ns0:t>
            </ns0:r>
          </ns0:p>
        </ns0:tc>
        <ns0:tc>
          <ns0:tcPr>
            <ns0:tcW ns0:type="dxa" ns0:w="1361"/>
          </ns0:tcPr>
          <ns0:p>
            <ns0:r>
              <ns0:t>0.228</ns0:t>
            </ns0:r>
          </ns0:p>
        </ns0:tc>
      </ns0:tr>
      <ns0:tr>
        <ns0:tc>
          <ns0:tcPr>
            <ns0:tcW ns0:type="dxa" ns0:w="1361"/>
          </ns0:tcPr>
          <ns0:p>
            <ns0:r>
              <ns0:t>G3-G2</ns0:t>
            </ns0:r>
          </ns0:p>
        </ns0:tc>
        <ns0:tc>
          <ns0:tcPr>
            <ns0:tcW ns0:type="dxa" ns0:w="1361"/>
          </ns0:tcPr>
          <ns0:p>
            <ns0:r>
              <ns0:t>38</ns0:t>
            </ns0:r>
          </ns0:p>
        </ns0:tc>
        <ns0:tc>
          <ns0:tcPr>
            <ns0:tcW ns0:type="dxa" ns0:w="1361"/>
          </ns0:tcPr>
          <ns0:p>
            <ns0:r>
              <ns0:t>0.000</ns0:t>
            </ns0:r>
          </ns0:p>
        </ns0:tc>
        <ns0:tc>
          <ns0:tcPr>
            <ns0:tcW ns0:type="dxa" ns0:w="1361"/>
          </ns0:tcPr>
          <ns0:p>
            <ns0:r>
              <ns0:t>0.000</ns0:t>
            </ns0:r>
          </ns0:p>
        </ns0:tc>
        <ns0:tc>
          <ns0:tcPr>
            <ns0:tcW ns0:type="dxa" ns0:w="1361"/>
          </ns0:tcPr>
          <ns0:p>
            <ns0:r>
              <ns0:t>0.013</ns0:t>
            </ns0:r>
          </ns0:p>
        </ns0:tc>
        <ns0:tc>
          <ns0:tcPr>
            <ns0:tcW ns0:type="dxa" ns0:w="1361"/>
          </ns0:tcPr>
          <ns0:p>
            <ns0:r>
              <ns0:t>0.000</ns0:t>
            </ns0:r>
          </ns0:p>
        </ns0:tc>
        <ns0:tc>
          <ns0:tcPr>
            <ns0:tcW ns0:type="dxa" ns0:w="1361"/>
          </ns0:tcPr>
          <ns0:p>
            <ns0:r>
              <ns0:t>0.013</ns0:t>
            </ns0:r>
          </ns0:p>
        </ns0:tc>
      </ns0:tr>
      <ns0:tr>
        <ns0:tc>
          <ns0:tcPr>
            <ns0:tcW ns0:type="dxa" ns0:w="1361"/>
          </ns0:tcPr>
          <ns0:p>
            <ns0:r>
              <ns0:t>G3-G1</ns0:t>
            </ns0:r>
          </ns0:p>
        </ns0:tc>
        <ns0:tc>
          <ns0:tcPr>
            <ns0:tcW ns0:type="dxa" ns0:w="1361"/>
          </ns0:tcPr>
          <ns0:p>
            <ns0:r>
              <ns0:t>42</ns0:t>
            </ns0:r>
          </ns0:p>
        </ns0:tc>
        <ns0:tc>
          <ns0:tcPr>
            <ns0:tcW ns0:type="dxa" ns0:w="1361"/>
          </ns0:tcPr>
          <ns0:p>
            <ns0:r>
              <ns0:t>-0.009</ns0:t>
            </ns0:r>
          </ns0:p>
        </ns0:tc>
        <ns0:tc>
          <ns0:tcPr>
            <ns0:tcW ns0:type="dxa" ns0:w="1361"/>
          </ns0:tcPr>
          <ns0:p>
            <ns0:r>
              <ns0:t>0.285</ns0:t>
            </ns0:r>
          </ns0:p>
        </ns0:tc>
        <ns0:tc>
          <ns0:tcPr>
            <ns0:tcW ns0:type="dxa" ns0:w="1361"/>
          </ns0:tcPr>
          <ns0:p>
            <ns0:r>
              <ns0:t>0.013</ns0:t>
            </ns0:r>
          </ns0:p>
        </ns0:tc>
        <ns0:tc>
          <ns0:tcPr>
            <ns0:tcW ns0:type="dxa" ns0:w="1361"/>
          </ns0:tcPr>
          <ns0:p>
            <ns0:r>
              <ns0:t>0.000</ns0:t>
            </ns0:r>
          </ns0:p>
        </ns0:tc>
        <ns0:tc>
          <ns0:tcPr>
            <ns0:tcW ns0:type="dxa" ns0:w="1361"/>
          </ns0:tcPr>
          <ns0:p>
            <ns0:r>
              <ns0:t>0.289</ns0:t>
            </ns0:r>
          </ns0:p>
        </ns0:tc>
      </ns0:tr>
    </ns0:tbl>
    <ns0:p>
      <ns0:pPr>
        <ns0:keepNext/>
      </ns0:pPr>
      <ns0:r>
        <ns0:drawing>
          <ns2:inline>
            <ns2:extent cx="5868000" cy="2302136"/>
            <ns2:docPr id="5" name="Picture 5"/>
            <ns2:cNvGraphicFramePr>
              <ns3:graphicFrameLocks noChangeAspect="1"/>
            </ns2:cNvGraphicFramePr>
            <ns3:graphic>
              <ns3:graphicData uri="http://schemas.openxmlformats.org/drawingml/2006/picture">
                <ns4:pic>
                  <ns4:nvPicPr>
                    <ns4:cNvPr id="0" name="quality_dimension_effects.png"/>
                    <ns4:cNvPicPr/>
                  </ns4:nvPicPr>
                  <ns4:blipFill>
                    <ns3:blip ns5:embed="rId29"/>
                    <ns3:stretch>
                      <ns3:fillRect/>
                    </ns3:stretch>
                  </ns4:blipFill>
                  <ns4:spPr>
                    <ns3:xfrm>
                      <ns3:off x="0" y="0"/>
                      <ns3:ext cx="5868000" cy="2302136"/>
                    </ns3:xfrm>
                    <ns3:prstGeom prst="rect"/>
                  </ns4:spPr>
                </ns4:pic>
              </ns3:graphicData>
            </ns3:graphic>
          </ns2:inline>
        </ns0:drawing>
      </ns0:r>
    </ns0:p>
    <ns0:p>
      <ns0:pPr>
        <ns0:pStyle ns0:val="Caption"/>
        <ns0:widowControl/>
      </ns0:pPr>
      <ns0:r>
        <ns0:t>图5 主比较的公司宏维度配对差。区间为20,000次公司聚类bootstrap点对点95%区间；仅包括已观察配对，不作多重比较校正。</ns0:t>
      </ns0:r>
    </ns0:p>
    <ns0:p>
      <ns0:pPr>
        <ns0:pStyle ns0:val="Heading2"/>
      </ns0:pPr>
      <ns0:r>
        <ns0:t>5.4 评分者差异与量表天花板</ns0:t>
      </ns0:r>
    </ns0:p>
    <ns0:p>
      <ns0:pPr>
        <ns0:widowControl/>
      </ns0:pPr>
      <ns0:r>
        <ns0:t>过滤后的355条供应商回答共1420对逐维度评分，精确一致率为86.20%（公司事实）、57.75%（法规依据）、97.46%（引用支持）和100.00%（不确定性）。法规项二次加权κ约0.215；人员2的法规分相对人员1平均低0.417，显示评分尺度或判断存在差异。均分能够对称保留两人的信息，但不能将这种差异自动变成共识。</ns0:t>
      </ns0:r>
    </ns0:p>
    <ns0:p>
      <ns0:pPr>
        <ns0:widowControl/>
      </ns0:pPr>
      <ns0:r>
        <ns0:t>引用支持的精确一致率为97.46%，κ为0；不确定性评分在355条回答上两位人员均给出2分，故κ因恒定边际不可估计。高一致率伴随近满分分布，不能据此宣称逐论断测量可靠。本文不选择“方法完全相同”或“量表缺乏分辨率”中的任一种作为已证实解释。评分者分布与天花板诊断见表9和图6。</ns0:t>
      </ns0:r>
    </ns0:p>
    <ns0:p>
      <ns0:pPr>
        <ns0:pStyle ns0:val="Caption"/>
        <ns0:keepNext/>
        <ns0:widowControl/>
      </ns0:pPr>
      <ns0:r>
        <ns0:t>表9 评分者尺度诊断</ns0:t>
      </ns0:r>
    </ns0:p>
    <ns0:tbl>
      <ns0:tblPr>
        <ns0:tblStyle ns0:val="TableGrid"/>
        <ns0:tblW ns0:type="auto" ns0:w="0"/>
        <ns0:tblLayout ns0:type="fixed"/>
        <ns0:tblLook ns0:firstColumn="1" ns0:firstRow="1" ns0:lastColumn="0" ns0:lastRow="0" ns0:noHBand="0" ns0:noVBand="1" ns0:val="04A0"/>
      </ns0:tblPr>
      <ns0:tblGrid>
        <ns0:gridCol ns0:w="1587"/>
        <ns0:gridCol ns0:w="1587"/>
        <ns0:gridCol ns0:w="1587"/>
        <ns0:gridCol ns0:w="1587"/>
        <ns0:gridCol ns0:w="1587"/>
        <ns0:gridCol ns0:w="1587"/>
      </ns0:tblGrid>
      <ns0:tr>
        <ns0:trPr>
          <ns0:tblHeader ns0:val="1"/>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维度</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精确一致率</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加权κ</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R2−R1均差</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R1满分率</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R2满分率</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公司事实</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86.2%</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0.400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81.4%</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93.0%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法规依据</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57.7%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-0.417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86.5%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44.8%</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引用支持</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0.025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不确定性</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不可估计</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r>
    </ns0:tbl>
    <ns0:p>
      <ns0:pPr>
        <ns0:keepNext/>
      </ns0:pPr>
      <ns0:r>
        <ns0:drawing>
          <ns2:inline>
            <ns2:extent cx="5868000" cy="2646252"/>
            <ns2:docPr id="7" name="Picture 7"/>
            <ns2:cNvGraphicFramePr>
              <ns3:graphicFrameLocks noChangeAspect="1"/>
            </ns2:cNvGraphicFramePr>
            <ns3:graphic>
              <ns3:graphicData uri="http://schemas.openxmlformats.org/drawingml/2006/picture">
                <ns4:pic>
                  <ns4:nvPicPr>
                    <ns4:cNvPr id="0" name="quality_ceiling_diagnostics.png"/>
                    <ns4:cNvPicPr/>
                  </ns4:nvPicPr>
                  <ns4:blipFill>
                    <ns3:blip ns5:embed="rId30"/>
                    <ns3:stretch>
                      <ns3:fillRect/>
                    </ns3:stretch>
                  </ns4:blipFill>
                  <ns4:spPr>
                    <ns3:xfrm>
                      <ns3:off x="0" y="0"/>
                      <ns3:ext cx="5868000" cy="2646252"/>
                    </ns3:xfrm>
                    <ns3:prstGeom prst="rect"/>
                  </ns4:spPr>
                </ns4:pic>
              </ns3:graphicData>
            </ns3:graphic>
          </ns2:inline>
        </ns0:drawing>
      </ns0:r>
    </ns0:p>
    <ns0:p>
      <ns0:pPr>
        <ns0:pStyle ns0:val="Caption"/>
        <ns0:widowControl/>
      </ns0:pPr>
      <ns0:r>
        <ns0:t>图6 355条供应商输出上的评分天花板与评分者满分率。高一致率不代表逐论断语义支持已核验。</ns0:t>
      </ns0:r>
    </ns0:p>
    <ns0:p>
      <ns0:pPr>
        <ns0:pStyle ns0:val="Heading2"/>
      </ns0:pPr>
      <ns0:r>
        <ns0:t>5.5 完整样本与缺失敏感性</ns0:t>
      </ns0:r>
    </ns0:p>
    <ns0:p>
      <ns0:pPr>
        <ns0:widowControl/>
      </ns0:pPr>
      <ns0:r>
        <ns0:t>逐公司删一分析中，G2−G1的范围为[0.199,0.241]，G3−G2为[0.000,0.014]。三个主条件均有输出的共同子集包含33题、18家公司，G2−G1为+0.236，G3−G2为+0.014；五种检索方法均有输出的共同子集仅含30题、16家公司，相应差值为+0.203和+0.016。若进一步要求整家公司三个问题全部可用，样本缩至12题、4家公司，G2−G1为+0.125，G3−G2为0。以上均为按可用供应商回答筛选的事后子集，不能消除选择偏差；尤其12题、4家公司的结果不足以支持跨公司泛化。</ns0:t>
      </ns0:r>
    </ns0:p>
    <ns0:p>
      <ns0:pPr>
        <ns0:widowControl/>
      </ns0:pPr>
      <ns0:r>
        <ns0:t>排除会话补充回答后，G2−G1只有41/60个可配对问题。利用每题可观察的一侧并对缺失评分按0至8取界，其全题均差范围为[-1.508, 1.292]；G3−G2为[-1.567, 1.767]。两者均跨零，因此当前可用样本的正向公司聚类区间不能外推为全计划问题上的确定优势。此类范围是基于量表端点的代数缺失界，不是置信区间。逐公司删一范围与缺失界见表10和图7。</ns0:t>
      </ns0:r>
    </ns0:p>
    <ns0:p>
      <ns0:pPr>
        <ns0:pStyle ns0:val="Caption"/>
        <ns0:keepNext/>
        <ns0:widowControl/>
      </ns0:pPr>
      <ns0:r>
        <ns0:t>表10 逐公司删一与已知单侧缺失界 量尺与估计对象分别说明</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删一公司宏差范围</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全清单题均差锐界</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胜/平/负题数</ns0:t>
            </ns0:r>
          </ns0:p>
        </ns0:tc>
      </ns0:tr>
      <ns0:tr>
        <ns0:tc>
          <ns0:tcPr>
            <ns0:tcW ns0:type="dxa" ns0:w="2381"/>
          </ns0:tcPr>
          <ns0:p>
            <ns0:r>
              <ns0:t>G2-G1</ns0:t>
            </ns0:r>
          </ns0:p>
        </ns0:tc>
        <ns0:tc>
          <ns0:tcPr>
            <ns0:tcW ns0:type="dxa" ns0:w="2381"/>
          </ns0:tcPr>
          <ns0:p>
            <ns0:r>
              <ns0:t>[0.199, 0.241]</ns0:t>
            </ns0:r>
          </ns0:p>
        </ns0:tc>
        <ns0:tc>
          <ns0:tcPr>
            <ns0:tcW ns0:type="dxa" ns0:w="2381"/>
          </ns0:tcPr>
          <ns0:p>
            <ns0:r>
              <ns0:t>[-1.508, 1.292]</ns0:t>
            </ns0:r>
          </ns0:p>
        </ns0:tc>
        <ns0:tc>
          <ns0:tcPr>
            <ns0:tcW ns0:type="dxa" ns0:w="2381"/>
          </ns0:tcPr>
          <ns0:p>
            <ns0:r>
              <ns0:t>13/28/0</ns0:t>
            </ns0:r>
          </ns0:p>
        </ns0:tc>
      </ns0:tr>
      <ns0:tr>
        <ns0:tc>
          <ns0:tcPr>
            <ns0:tcW ns0:type="dxa" ns0:w="2381"/>
          </ns0:tcPr>
          <ns0:p>
            <ns0:r>
              <ns0:t>G3-G2</ns0:t>
            </ns0:r>
          </ns0:p>
        </ns0:tc>
        <ns0:tc>
          <ns0:tcPr>
            <ns0:tcW ns0:type="dxa" ns0:w="2381"/>
          </ns0:tcPr>
          <ns0:p>
            <ns0:r>
              <ns0:t>[0.000, 0.014]</ns0:t>
            </ns0:r>
          </ns0:p>
        </ns0:tc>
        <ns0:tc>
          <ns0:tcPr>
            <ns0:tcW ns0:type="dxa" ns0:w="2381"/>
          </ns0:tcPr>
          <ns0:p>
            <ns0:r>
              <ns0:t>[-1.567, 1.767]</ns0:t>
            </ns0:r>
          </ns0:p>
        </ns0:tc>
        <ns0:tc>
          <ns0:tcPr>
            <ns0:tcW ns0:type="dxa" ns0:w="2381"/>
          </ns0:tcPr>
          <ns0:p>
            <ns0:r>
              <ns0:t>1/37/0</ns0:t>
            </ns0:r>
          </ns0:p>
        </ns0:tc>
      </ns0:tr>
      <ns0:tr>
        <ns0:tc>
          <ns0:tcPr>
            <ns0:tcW ns0:type="dxa" ns0:w="2381"/>
          </ns0:tcPr>
          <ns0:p>
            <ns0:r>
              <ns0:t>G3-NoRerank</ns0:t>
            </ns0:r>
          </ns0:p>
        </ns0:tc>
        <ns0:tc>
          <ns0:tcPr>
            <ns0:tcW ns0:type="dxa" ns0:w="2381"/>
          </ns0:tcPr>
          <ns0:p>
            <ns0:r>
              <ns0:t>[-0.250, -0.196]</ns0:t>
            </ns0:r>
          </ns0:p>
        </ns0:tc>
        <ns0:tc>
          <ns0:tcPr>
            <ns0:tcW ns0:type="dxa" ns0:w="2381"/>
          </ns0:tcPr>
          <ns0:p>
            <ns0:r>
              <ns0:t>[-1.750, 0.517]</ns0:t>
            </ns0:r>
          </ns0:p>
        </ns0:tc>
        <ns0:tc>
          <ns0:tcPr>
            <ns0:tcW ns0:type="dxa" ns0:w="2381"/>
          </ns0:tcPr>
          <ns0:p>
            <ns0:r>
              <ns0:t>2/23/20</ns0:t>
            </ns0:r>
          </ns0:p>
        </ns0:tc>
      </ns0:tr>
      <ns0:tr>
        <ns0:tc>
          <ns0:tcPr>
            <ns0:tcW ns0:type="dxa" ns0:w="2381"/>
          </ns0:tcPr>
          <ns0:p>
            <ns0:r>
              <ns0:t>G3-BM25</ns0:t>
            </ns0:r>
          </ns0:p>
        </ns0:tc>
        <ns0:tc>
          <ns0:tcPr>
            <ns0:tcW ns0:type="dxa" ns0:w="2381"/>
          </ns0:tcPr>
          <ns0:p>
            <ns0:r>
              <ns0:t>[-0.260, -0.219]</ns0:t>
            </ns0:r>
          </ns0:p>
        </ns0:tc>
        <ns0:tc>
          <ns0:tcPr>
            <ns0:tcW ns0:type="dxa" ns0:w="2381"/>
          </ns0:tcPr>
          <ns0:p>
            <ns0:r>
              <ns0:t>[-1.792, 0.608]</ns0:t>
            </ns0:r>
          </ns0:p>
        </ns0:tc>
        <ns0:tc>
          <ns0:tcPr>
            <ns0:tcW ns0:type="dxa" ns0:w="2381"/>
          </ns0:tcPr>
          <ns0:p>
            <ns0:r>
              <ns0:t>10/6/29</ns0:t>
            </ns0:r>
          </ns0:p>
        </ns0:tc>
      </ns0:tr>
    </ns0:tbl>
    <ns0:p>
      <ns0:pPr>
        <ns0:keepNext/>
      </ns0:pPr>
      <ns0:r>
        <ns0:drawing>
          <ns2:inline>
            <ns2:extent cx="5868000" cy="3597001"/>
            <ns2:docPr id="8" name="Picture 8"/>
            <ns2:cNvGraphicFramePr>
              <ns3:graphicFrameLocks noChangeAspect="1"/>
            </ns2:cNvGraphicFramePr>
            <ns3:graphic>
              <ns3:graphicData uri="http://schemas.openxmlformats.org/drawingml/2006/picture">
                <ns4:pic>
                  <ns4:nvPicPr>
                    <ns4:cNvPr id="0" name="missingness_and_loco_sensitivity.png"/>
                    <ns4:cNvPicPr/>
                  </ns4:nvPicPr>
                  <ns4:blipFill>
                    <ns3:blip ns5:embed="rId31"/>
                    <ns3:stretch>
                      <ns3:fillRect/>
                    </ns3:stretch>
                  </ns4:blipFill>
                  <ns4:spPr>
                    <ns3:xfrm>
                      <ns3:off x="0" y="0"/>
                      <ns3:ext cx="5868000" cy="3597001"/>
                    </ns3:xfrm>
                    <ns3:prstGeom prst="rect"/>
                  </ns4:spPr>
                </ns4:pic>
              </ns3:graphicData>
            </ns3:graphic>
          </ns2:inline>
        </ns0:drawing>
      </ns0:r>
    </ns0:p>
    <ns0:p>
      <ns0:pPr>
        <ns0:pStyle ns0:val="Caption"/>
        <ns0:widowControl/>
      </ns0:pPr>
      <ns0:r>
        <ns0:t>图7 排除会话补充回答后的缺失与逐公司删一敏感性。观测效应区间为20,000次公司聚类bootstrap点对点95%区间；全题代数缺失界与置信区间是不同估计对象。</ns0:t>
      </ns0:r>
    </ns0:p>
    <ns0:p>
      <ns0:pPr>
        <ns0:pStyle ns0:val="Heading1"/>
      </ns0:pPr>
      <ns0:r>
        <ns0:t>6 检索证据与案例分析</ns0:t>
      </ns0:r>
    </ns0:p>
    <ns0:p>
      <ns0:pPr>
        <ns0:pStyle ns0:val="Heading2"/>
      </ns0:pPr>
      <ns0:r>
        <ns0:t>6.1 来源供给与目标定位覆盖</ns0:t>
      </ns0:r>
    </ns0:p>
    <ns0:p>
      <ns0:pPr>
        <ns0:widowControl/>
      </ns0:pPr>
      <ns0:r>
        <ns0:t>原配置回放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 候选预算回放、重新执行的BM25检索以及定位粒度拆分见补充材料S1–S2；这些诊断用于解释运行边界，不与主实验评分合并。</ns0:t>
      </ns0:r>
    </ns0:p>
    <ns0:p>
      <ns0:pPr>
        <ns0:widowControl/>
      </ns0:pPr>
      <ns0:r>
        <ns0: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ns0:t>
      </ns0:r>
      <ns0:r>
        <ns0:t xml:space="preserve"> 来源供给及严格目标位置结果见表11和图8。</ns0:t>
      </ns0:r>
    </ns0:p>
    <ns0:p>
      <ns0:pPr>
        <ns0:pStyle ns0:val="Caption"/>
        <ns0:keepNext/>
        <ns0:widowControl/>
      </ns0:pPr>
      <ns0:r>
        <ns0:t>表11 原配置回放来源供给与严格目标位置代理</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策略</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A/R片段均值</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实际tokens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双角色出现</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A页覆盖</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t>R定位覆盖</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角色宏覆盖</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dual</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5.00 / 5.00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4032</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100.0%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74.3%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39.1%</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merged</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8.18 / 1.18</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4945</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68.3%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79.7%</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39.8%</ns0:t>
            </ns0:r>
          </ns0:p>
        </ns0:tc>
      </ns0:tr>
    </ns0:tbl>
    <ns0:p>
      <ns0:pPr>
        <ns0:keepNext/>
      </ns0:pPr>
      <ns0:r>
        <ns0:drawing>
          <ns2:inline>
            <ns2:extent cx="5868000" cy="2305613"/>
            <ns2:docPr id="9" name="Picture 9"/>
            <ns2:cNvGraphicFramePr>
              <ns3:graphicFrameLocks noChangeAspect="1"/>
            </ns2:cNvGraphicFramePr>
            <ns3:graphic>
              <ns3:graphicData uri="http://schemas.openxmlformats.org/drawingml/2006/picture">
                <ns4:pic>
                  <ns4:nvPicPr>
                    <ns4:cNvPr id="0" name="R3_context_allocation.png"/>
                    <ns4:cNvPicPr/>
                  </ns4:nvPicPr>
                  <ns4:blipFill>
                    <ns3:blip ns5:embed="rId18"/>
                    <ns3:stretch>
                      <ns3:fillRect/>
                    </ns3:stretch>
                  </ns4:blipFill>
                  <ns4:spPr>
                    <ns3:xfrm>
                      <ns3:off x="0" y="0"/>
                      <ns3:ext cx="5868000" cy="2305613"/>
                    </ns3:xfrm>
                    <ns3:prstGeom prst="rect"/>
                  </ns4:spPr>
                </ns4:pic>
              </ns3:graphicData>
            </ns3:graphic>
          </ns2:inline>
        </ns0:drawing>
      </ns0:r>
    </ns0:p>
    <ns0:p>
      <ns0:pPr>
        <ns0:pStyle ns0:val="Caption"/>
        <ns0:widowControl/>
      </ns0:pPr>
      <ns0:r>
        <ns0:t>图8 来源分配回放。类型同时存在是供给指标，不能替代参考页面覆盖或语义支持。</ns0:t>
      </ns0:r>
    </ns0:p>
    <ns0:p>
      <ns0:pPr>
        <ns0:pStyle ns0:val="Heading2"/>
      </ns0:pPr>
      <ns0:r>
        <ns0:t>6.2 真实案例与分歧分析</ns0:t>
      </ns0:r>
    </ns0:p>
    <ns0:p>
      <ns0:pPr>
        <ns0:widowControl/>
      </ns0:pPr>
      <ns0:r>
        <ns0: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ns0:t>
      </ns0:r>
    </ns0:p>
    <ns0:p>
      <ns0:pPr>
        <ns0:widowControl/>
      </ns0:pPr>
      <ns0:r>
        <ns0:t xml:space="preserve">作为一项事后选取的供应商生成案例，立讯精密审计委员会问题在G1、G2、G3下的双人均分分别为7.0、8.0、8.0。G3依据实际检索片段报告了委员会成员、会议次数和部分履职活动；这些片段未标明成员身份或召集人。对2024年报全文复核后发现，其他章节将刘中华、宋宇红、侯玲玲列为独立董事，将张英列为离任独立董事，并记张英于2024年5月18日离任；但审计委员会会议表在2024年8月23日和10月25日仍将张英列入四人名单，年报内部的成员时序记录存在不一致。年报未列明审计委员会召集人[31]。由于年报自身存在该记录冲突，且所给法规版本的时点适用性未核验，本例不能据此判断合规；它说明检索片段覆盖和原始文档一致性都影响核验。该单例事后选取，不能解释主效应。</ns0:t>
      </ns0:r>
    </ns0:p>
    <ns0:p>
      <ns0:pPr>
        <ns0:widowControl/>
      </ns0:pPr>
      <ns0:r>
        <ns0:t>在该案例中，G2与G3使用逐字相同的检索上下文且评分相同；它说明角色提示没有在此题增加评分，不能据一个案例推断提示普遍无效。案例和评分均来自主协议下的供应商输出，已排除会话补充答案。代表性输出节选见表12。</ns0:t>
      </ns0:r>
    </ns0:p>
    <ns0:p>
      <ns0:pPr>
        <ns0:pStyle ns0:val="Caption"/>
        <ns0:keepNext/>
        <ns0:widowControl/>
      </ns0:pPr>
      <ns0:r>
        <ns0:t>表12 事后选取的供应商输出案例</ns0:t>
      </ns0:r>
    </ns0:p>
    <ns0:tbl>
      <ns0:tblPr>
        <ns0:tblStyle ns0:val="TableGrid"/>
        <ns0:tblW ns0:type="auto" ns0:w="0"/>
        <ns0:tblLayout ns0:type="fixed"/>
        <ns0:tblLook ns0:firstColumn="1" ns0:firstRow="1" ns0:lastColumn="0" ns0:lastRow="0" ns0:noHBand="0" ns0:noVBand="1" ns0:val="04A0"/>
      </ns0:tblPr>
      <ns0:tblGrid>
        <ns0:gridCol ns0:w="2098"/>
        <ns0:gridCol ns0:w="1077"/>
        <ns0:gridCol ns0:w="4365"/>
        <ns0:gridCol ns0:w="1984"/>
      </ns0:tblGrid>
      <ns0:tr>
        <ns0:trPr>
          <ns0:tblHeader ns0:val="1"/>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问题</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三条件分数</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G3正文节选</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G3引用ID节选</ns0:t>
            </ns0:r>
          </ns0:p>
        </ns0:tc>
      </ns0:tr>
      <ns0:tr>
        <ns0:trPr>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002475SZ-2024-AUDIT_COMMITTEE</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7.0/8.0/8.0</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一、年报披露（有原文支持）：
1. 人员构成：立讯精密2024年报披露，审计委员会成员为刘中华、宋宇红、侯玲玲、张英，共4人；报告期内召开会议4次 [A1]。年报另披露公司董事会共7名董事，其中独立董事3名（法律、会计等领域专家），董事会下…</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A1</ns0:t>
            </ns0:r>
          </ns0:p>
        </ns0:tc>
      </ns0:tr>
    </ns0:tbl>
    <ns0:p>
      <ns0:pPr>
        <ns0:widowControl/>
      </ns0:pPr>
      <ns0:r>
        <ns0:t>完整120字符节选、两位人员分项分值、原始响应文件与SHA256及复核说明字段保存在随稿案例清单。此表引文为实际response.evaluation的前段，不补写省略的结论；引用ID列仅列出实际引用的部分ID。</ns0:t>
      </ns0:r>
    </ns0:p>
    <ns0:p>
      <ns0:pPr>
        <ns0:pStyle ns0:val="Heading1"/>
      </ns0:pPr>
      <ns0:r>
        <ns0:t>7 讨论与有效性限制</ns0:t>
      </ns0:r>
    </ns0:p>
    <ns0:p>
      <ns0:pPr>
        <ns0:pStyle ns0:val="Heading2"/>
      </ns0:pPr>
      <ns0:r>
        <ns0:t>7.1 正向效应对应的研究结论</ns0:t>
      </ns0:r>
    </ns0:p>
    <ns0:p>
      <ns0:pPr>
        <ns0:widowControl/>
      </ns0:pPr>
      <ns0:r>
        <ns0: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ns0:t>
      </ns0:r>
    </ns0:p>
    <ns0:p>
      <ns0:pPr>
        <ns0:widowControl/>
      </ns0:pPr>
      <ns0:r>
        <ns0:t>对面向实际文件的系统而言，保存原文坐标和实际上下文可提供追溯入口。本研究仅对1个问题下8种检索配置产生的16次成功候选检索执行了算术回放，核对已记录通道候选、融合结果与最终排序的一致性；该检查不验证候选的语义相关性，也不代表主实验全量运行均可回放。本研究未测量这些记录能否提升人工复核正确率或降低复核成本。工程可追溯性不能改变本实验的回答质量结果；如果简化配置表现更好，应如实报告，而不只展示符合预期的比较。</ns0:t>
      </ns0:r>
    </ns0:p>
    <ns0:p>
      <ns0:pPr>
        <ns0:pStyle ns0:val="Heading2"/>
      </ns0:pPr>
      <ns0:r>
        <ns0:t>7.2 提示约束为何不能预设有益</ns0:t>
      </ns0:r>
    </ns0:p>
    <ns0:p>
      <ns0:pPr>
        <ns0:widowControl/>
      </ns0:pPr>
      <ns0:r>
        <ns0: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ns0:t>
      </ns0:r>
    </ns0:p>
    <ns0:p>
      <ns0:pPr>
        <ns0:widowControl/>
      </ns0:pPr>
      <ns0:r>
        <ns0: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ns0:t>
      </ns0:r>
    </ns0:p>
    <ns0:p>
      <ns0:pPr>
        <ns0:pStyle ns0:val="Heading2"/>
      </ns0:pPr>
      <ns0:r>
        <ns0:t>7.3 简化基线与组件解释</ns0:t>
      </ns0:r>
    </ns0:p>
    <ns0:p>
      <ns0:pPr>
        <ns0:widowControl/>
      </ns0:pPr>
      <ns0:r>
        <ns0: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ns0:t>
      </ns0:r>
    </ns0:p>
    <ns0:p>
      <ns0:pPr>
        <ns0:widowControl/>
      </ns0:pPr>
      <ns0:r>
        <ns0: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ns0:t>
      </ns0:r>
    </ns0:p>
    <ns0:p>
      <ns0:pPr>
        <ns0:pStyle ns0:val="Heading2"/>
      </ns0:pPr>
      <ns0:r>
        <ns0:t>7.4 专业任务中的不确定性</ns0:t>
      </ns0:r>
    </ns0:p>
    <ns0:p>
      <ns0:pPr>
        <ns0:widowControl/>
      </ns0:pPr>
      <ns0:r>
        <ns0:t>在预设的20题来源缺失诊断中，删年报和删法规条件各有20条有效回答；与同题完整双源条件G3配对后，分别有15题可比较。已观察配对中，G3相对删年报和删法规的双人均分差分别为+0.967和+0.733（0–8分）。但另外5题的G3缺失；按量表端点界定20题均差的锐界分别为[−0.900, 1.100]和[−1.150, 0.850]，均跨零。删源同时改变证据内容与上下文长度，因此这些观察只与材料互补性解释相容，不能识别纯粹的来源角色效应。</ns0:t>
      </ns0:r>
    </ns0:p>
    <ns0:p>
      <ns0:pPr>
        <ns0:widowControl/>
      </ns0:pPr>
      <ns0:r>
        <ns0: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ns0:t>
      </ns0:r>
    </ns0:p>
    <ns0:p>
      <ns0:pPr>
        <ns0:pStyle ns0:val="Heading2"/>
      </ns0:pPr>
      <ns0:r>
        <ns0:t>7.5 内部有效性</ns0:t>
      </ns0:r>
    </ns0:p>
    <ns0:p>
      <ns0:pPr>
        <ns0:widowControl/>
      </ns0:pPr>
      <ns0:r>
        <ns0: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ns0:t>
      </ns0:r>
    </ns0:p>
    <ns0:p>
      <ns0:pPr>
        <ns0:widowControl/>
      </ns0:pPr>
      <ns0:r>
        <ns0: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ns0:t>
      </ns0:r>
    </ns0:p>
    <ns0:p>
      <ns0:pPr>
        <ns0:pStyle ns0:val="Heading2"/>
      </ns0:pPr>
      <ns0:r>
        <ns0:t>7.6 外部有效性与资源限制</ns0:t>
      </ns0:r>
    </ns0:p>
    <ns0:p>
      <ns0:pPr>
        <ns0:widowControl/>
      </ns0:pPr>
      <ns0:r>
        <ns0: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ns0:t>
      </ns0:r>
    </ns0:p>
    <ns0:p>
      <ns0:pPr>
        <ns0:widowControl/>
      </ns0:pPr>
      <ns0:r>
        <ns0:t>补充的法规版本审计发现，本研究问题均以2024年报告为背景，而当前知识库中的DOC100《上市公司信息披露管理办法》、DOC128《上市公司章程指引》和DOC120《上市公司治理准则》分别对应2025年第226号令（2025年3月26日公布、2025年7月1日起施行）、2025年第6号公告（2025年3月28日公布并施行）和2025年第18号公告（2025年10月16日公布、2026年1月1日起施行）；历史版本方面，冻结索引收录第182号令官方PDF的22页，且该文档不在冻结排除清单中；冻结候选表未检出该文档。2018年版治理准则未见于按文档标题和标识检查的索引条目，但不能据此排除其以其他形式包含在其他来源中。DOC343文本同时包含2023年修改决定及随后重新公布的章程指引全文；冻结方案排除文本版DOC343，但收录对应官方PDF（OFFICIAL-DOC343，59页）。G2的冻结top-10中有7题检出该PDF物理第2页，均属修改决定部分；该计数不验证语义支持或具体时点适用[25–27]。按清单日期检查冻结的法规top-10候选，G1合库检索的73条法规候选中有64条晚于报告年度，涉及42/60题；G2双路检索的300条中有156条晚于报告年度，涉及60/60题。索引@DATE口径不一：DOC100记审议通过日2025-02-28，DOC128记公布日2025-03-28，DOC120记施行日2026-01-01[25–27]。故“晚于报告年度”仅是索引时间标记；具体适用仍须结合事项日期及规范的公布、施行、修订和废止状态逐项核实。因此，涉及这些文件的检索与评分只反映当前语料快照，不能解释为2024年历史法规版本命中率或时点合规性验证。</ns0:t>
      </ns0:r>
    </ns0:p>
    <ns0:p>
      <ns0:pPr>
        <ns0:widowControl/>
      </ns0:pPr>
      <ns0:r>
        <ns0: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ns0:t>
      </ns0:r>
    </ns0:p>
    <ns0:p>
      <ns0:pPr>
        <ns0:widowControl/>
      </ns0:pPr>
      <ns0:r>
        <ns0:t>同系列K3与K2.8服务别名比较均未发送reasoning_effort参数；供应商资料列出的默认值分别为high和max，但响应未记录可独立核实的服务端实际档位，推理预算未统一。底层checkpoint revision同样未核验，因此差异不能归因于模型权重，也不能称为跨模型族泛化。每单元一次生成还不足以估计采样波动。本研究不利用这些限制回避负结果，而是用它们约束研究结论，明确哪些观察可以支持，哪些还需新的独立试验。</ns0:t>
      </ns0:r>
    </ns0:p>
    <ns0:p>
      <ns0:pPr/>
      <ns0:r>
        <ns0:t>补充开展跨模型族、跨年度的小样本探索：对四家公司2023、2024年报的8个既有问题，Qwen3-0.6B（本地固定权重、FP16 GPU）与此前K3服务别名单次回答使用相同的保存用户提示和初始证据，均获得8条非空输出。以已有助手提取、非独立裁定的勘误后参考为准，Qwen与K3的成员宏F1分别为0.651和0.975，日期宏F1分别为0.600和0.953，会议次数精确匹配分别为3/8和8/8；严格输出结构合规分别为0/8和8/8（图9）。字段F1即使在结构不合规时也计算，不能视为格式或引用支持准确率。原冻结参考下成员宏F1分别为0.653和0.989；勘误发生在已有K3输出之后。该补充为事后分析、每题每模型一次生成，样本只有4家公司；Qwen采样温度0.7、最多2048生成token，K3温度1、最多8192输出token，模型规模、计算和输出预算不同，K3底层版本未独立核实，因而不能归因于模型族或声称跨年度普遍泛化，也不能证明法规适用或语义引用支持。</ns0:t>
      </ns0:r>
    </ns0:p>
    <ns0:p>
      <ns0:pPr>
        <ns0:keepNext/>
        <ns0:jc ns0:val="center"/>
      </ns0:pPr>
      <ns0:r>
        <ns0:drawing>
          <ns2:inline>
            <ns2:extent cx="4754880" cy="3176852"/>
            <ns2:docPr id="10" name="Picture 10"/>
            <ns2:cNvGraphicFramePr>
              <ns3:graphicFrameLocks noChangeAspect="1"/>
            </ns2:cNvGraphicFramePr>
            <ns3:graphic>
              <ns3:graphicData uri="http://schemas.openxmlformats.org/drawingml/2006/picture">
                <ns4:pic>
                  <ns4:nvPicPr>
                    <ns4:cNvPr id="0" name="cross_model_exploratory.png"/>
                    <ns4:cNvPicPr/>
                  </ns4:nvPicPr>
                  <ns4:blipFill>
                    <ns3:blip ns5:embed="rId32"/>
                    <ns3:stretch>
                      <ns3:fillRect/>
                    </ns3:stretch>
                  </ns4:blipFill>
                  <ns4:spPr>
                    <ns3:xfrm>
                      <ns3:off x="0" y="0"/>
                      <ns3:ext cx="4754880" cy="3176852"/>
                    </ns3:xfrm>
                    <ns3:prstGeom prst="rect"/>
                  </ns4:spPr>
                </ns4:pic>
              </ns3:graphicData>
            </ns3:graphic>
          </ns2:inline>
        </ns0:drawing>
      </ns0:r>
    </ns0:p>
    <ns0:p>
      <ns0:pPr>
        <ns0:pStyle ns0:val="Caption"/>
      </ns0:pPr>
      <ns0:r>
        <ns0:t>图9 探索性跨模型对照。基于8题既有助手提取参考的字段匹配与结构检查；不同模型规模、预算和未独立验证的参考限制了解释。</ns0:t>
      </ns0:r>
    </ns0:p>
    <ns0:p>
      <ns0:pPr>
        <ns0:pStyle ns0:val="Heading2"/>
      </ns0:pPr>
      <ns0:r>
        <ns0:t>7.7 结论与部署含义</ns0:t>
      </ns0:r>
    </ns0:p>
    <ns0:p>
      <ns0:pPr>
        <ns0:widowControl/>
      </ns0:pPr>
      <ns0:r>
        <ns0:t>部署时可优先采用能够保留身份、版本和定位记录的简单配置，明确区分材料缺失、检索未命中与实际不存在。对于涉及法规适用的事项，界面应展示可获得的事项时间与版本依据以及未知状态。这些建议来自本研究观察到的来源供给与法规版本限制；本研究未直接检验其能否降低决策风险、复核成本或人员工作时间。</ns0:t>
      </ns0:r>
    </ns0:p>
    <ns0:p>
      <ns0:pPr>
        <ns0:widowControl/>
      </ns0:pPr>
      <ns0:r>
        <ns0:t>本文对上市公司年报与法规问答中的双源检索配置进行了受控比较。在41个G1/G2均有供应商输出的配对问题上，双路检索的公司宏均分高0.228分（0–8分量表，点对点95%公司聚类区间[0.110, 0.355]）；但保留已观测单侧评分计算的全60题均差界为[-1.508, 1.292]，跨越零。因此这只是可用配对上的观察差异，不能断言完整计划题集存在确定优势。相同证据下来源角色提示相对双路检索在38个配对问题上的差为+0.013分（[0.000, 0.039]），未显示稳定增量。来源缺失条件只覆盖20题且删除来源同时改变证据内容和上下文长度，不能据其各自可用样本均分推断纯来源效应。来源共现与目标位置覆盖也不等于论断级语义支持。因此，结果限于当前样本、模型和评分协议，不能说明复杂检索配置普遍优于简化基线。</ns0:t>
      </ns0:r>
    </ns0:p>
    <ns0:p>
      <ns0:pPr>
        <ns0:widowControl/>
      </ns0:pPr>
      <ns0:r>
        <ns0:t>本文主实验仍受限于20家公司、60个问题、单一报告年度、探索性设计及评分量表天花板。法规知识库未完整提供与2024年报告期相匹配的历史版本，因此结果不构成历史法规适用性验证；人工评分也不等同于检索Precision、Recall或答案Accuracy。后续若需提出这些更强主张，应分别建立独立问题集、相关证据标注和盲评协议。</ns0:t>
      </ns0:r>
    </ns0:p>
    <ns0:p>
      <ns0:pPr>
        <ns0:pStyle ns0:val="Heading1"/>
      </ns0:pPr>
      <ns0:r>
        <ns0:t>数据与代码可用性</ns0:t>
      </ns0:r>
    </ns0:p>
    <ns0:p>
      <ns0:pPr>
        <ns0:widowControl/>
      </ns0:pPr>
      <ns0:r>
        <ns0:t>可复现分析脚本、聚合结果、回放明细、图表原始数据及输入哈希清单保存于项目材料。论文公开仓库地址与原文件再分发范围尚未确定，不虚构公开链接。原始文件、评分与运行记录保留，公开时应按其真实授权处理。</ns0:t>
      </ns0:r>
    </ns0:p>
    <ns0:p>
      <ns0:pPr>
        <ns0:pStyle ns0:val="Heading1"/>
      </ns0:pPr>
      <ns0:r>
        <ns0:t>参考文献</ns0:t>
      </ns0:r>
    </ns0:p>
    <ns0:p>
      <ns0:pPr>
        <ns0:widowControl/>
        <ns0:spacing ns0:after="0" ns0:before="0" ns0:line="240" ns0:lineRule="auto"/>
      </ns0:pPr>
      <ns0:r>
        <ns0:t>[1] Lewis P, et al. Retrieval-Augmented Generation for Knowledge-Intensive NLP Tasks. Advances in Neural Information Processing Systems 33 (NeurIPS 2020): 9459–9474. https://proceedings.neurips.cc/paper/2020/hash/6b493230-Abstract.html</ns0:t>
      </ns0:r>
    </ns0:p>
    <ns0:p>
      <ns0:pPr>
        <ns0:widowControl/>
        <ns0:spacing ns0:after="0" ns0:before="0" ns0:line="240" ns0:lineRule="auto"/>
      </ns0:pPr>
      <ns0:r>
        <ns0:t>[2] Chen Z, et al. FinQA: A Dataset of Numerical Reasoning over Financial Data. EMNLP, 2021: 3697–3711. https://doi.org/10.18653/v1/2021.emnlp-main.300</ns0:t>
      </ns0:r>
    </ns0:p>
    <ns0:p>
      <ns0:pPr>
        <ns0:widowControl/>
        <ns0:spacing ns0:after="0" ns0:before="0" ns0:line="240" ns0:lineRule="auto"/>
      </ns0:pPr>
      <ns0:r>
        <ns0:t>[3] Zhu F, et al. TAT-QA: A Question Answering Benchmark on a Hybrid of Tabular and Textual Content in Finance. ACL-IJCNLP, 2021: 3277–3287. https://doi.org/10.18653/v1/2021.acl-long.254</ns0:t>
      </ns0:r>
    </ns0:p>
    <ns0:p>
      <ns0:pPr>
        <ns0:widowControl/>
        <ns0:spacing ns0:after="0" ns0:before="0" ns0:line="240" ns0:lineRule="auto"/>
      </ns0:pPr>
      <ns0:r>
        <ns0:t>[4] Choe J, Kim J, Jung W. Hierarchical Retrieval with Evidence Curation for Open-Domain Financial Question Answering on Standardized Documents. Findings of ACL, 2025: 16663–16681. https://doi.org/10.18653/v1/2025.findings-acl.855</ns0:t>
      </ns0:r>
    </ns0:p>
    <ns0:p>
      <ns0:pPr>
        <ns0:widowControl/>
        <ns0:spacing ns0:after="0" ns0:before="0" ns0:line="240" ns0:lineRule="auto"/>
      </ns0:pPr>
      <ns0:r>
        <ns0:t>[5] Siddharth L, Luo J. Retrieval augmented generation using engineering design knowledge. Knowledge-Based Systems 303, 2024: 112410. https://doi.org/10.1016/j.knosys.2024.112410</ns0:t>
      </ns0:r>
    </ns0:p>
    <ns0:p>
      <ns0:pPr>
        <ns0:widowControl/>
        <ns0:spacing ns0:after="0" ns0:before="0" ns0:line="240" ns0:lineRule="auto"/>
      </ns0:pPr>
      <ns0:r>
        <ns0:t>[6] Yang W, Some L, Bain M, Kang B. A comprehensive survey on integrating large language models with knowledge-based methods. Knowledge-Based Systems 318, 2025: 113503. https://doi.org/10.1016/j.knosys.2025.113503</ns0:t>
      </ns0:r>
    </ns0:p>
    <ns0:p>
      <ns0:pPr>
        <ns0:widowControl/>
        <ns0:spacing ns0:after="0" ns0:before="0" ns0:line="240" ns0:lineRule="auto"/>
      </ns0:pPr>
      <ns0:r>
        <ns0:t>[7] Robertson S, Zaragoza H. The Probabilistic Relevance Framework: BM25 and Beyond. Foundations and Trends in Information Retrieval 4(1–2), 2009: 1–174. https://doi.org/10.1561/1500000019</ns0:t>
      </ns0:r>
    </ns0:p>
    <ns0:p>
      <ns0:pPr>
        <ns0:widowControl/>
        <ns0:spacing ns0:after="0" ns0:before="0" ns0:line="240" ns0:lineRule="auto"/>
      </ns0:pPr>
      <ns0:r>
        <ns0:t>[8] Karpukhin V, et al. Dense Passage Retrieval for Open-Domain Question Answering. EMNLP, 2020: 6769–6781. https://doi.org/10.18653/v1/2020.emnlp-main.550</ns0:t>
      </ns0:r>
    </ns0:p>
    <ns0:p>
      <ns0:pPr>
        <ns0:widowControl/>
        <ns0:spacing ns0:after="0" ns0:before="0" ns0:line="240" ns0:lineRule="auto"/>
      </ns0:pPr>
      <ns0:r>
        <ns0:t>[9] Zhang Y, et al. Qwen3 Embedding: Advancing Text Embedding and Reranking Through Foundation Models. arXiv, 2025. https://arxiv.org/abs/2506.05176</ns0:t>
      </ns0:r>
    </ns0:p>
    <ns0:p>
      <ns0:pPr>
        <ns0:widowControl/>
        <ns0:spacing ns0:after="0" ns0:before="0" ns0:line="240" ns0:lineRule="auto"/>
      </ns0:pPr>
      <ns0:r>
        <ns0:t>[10] Cormack G V, Clarke C L A, Buettcher S. Reciprocal rank fusion outperforms condorcet and individual rank learning methods. SIGIR, 2009: 758–759. https://doi.org/10.1145/1571941.1572114</ns0:t>
      </ns0:r>
    </ns0:p>
    <ns0:p>
      <ns0:pPr>
        <ns0:widowControl/>
        <ns0:spacing ns0:after="0" ns0:before="0" ns0:line="240" ns0:lineRule="auto"/>
      </ns0:pPr>
      <ns0:r>
        <ns0:t>[11] Alier M, García-Peñalvo F J, Casañ M J, Pereira J, Granados A. Closing the acronym gap in educational retrieval with ontology-guided augmentation. Information Sciences 740, 2026: 123181. https://doi.org/10.1016/j.ins.2026.123181</ns0:t>
      </ns0:r>
    </ns0:p>
    <ns0:p>
      <ns0:pPr>
        <ns0:widowControl/>
        <ns0:spacing ns0:after="0" ns0:before="0" ns0:line="240" ns0:lineRule="auto"/>
      </ns0:pPr>
      <ns0:r>
        <ns0:t>[12] Asai A, Wu Z, Wang Y, Sil A, Hajishirzi H. Self-RAG: Learning to Retrieve, Generate, and Critique through Self-Reflection. ICLR, 2024. https://arxiv.org/abs/2310.11511</ns0:t>
      </ns0:r>
    </ns0:p>
    <ns0:p>
      <ns0:pPr>
        <ns0:widowControl/>
        <ns0:spacing ns0:after="0" ns0:before="0" ns0:line="240" ns0:lineRule="auto"/>
      </ns0:pPr>
      <ns0:r>
        <ns0:t>[13] Yan S Q, Gu J C, Zhu Y, Ling Z H. Corrective Retrieval Augmented Generation. arXiv, 2024. https://arxiv.org/abs/2401.15884</ns0:t>
      </ns0:r>
    </ns0:p>
    <ns0:p>
      <ns0:pPr>
        <ns0:widowControl/>
        <ns0:spacing ns0:after="0" ns0:before="0" ns0:line="240" ns0:lineRule="auto"/>
      </ns0:pPr>
      <ns0:r>
        <ns0:t>[14] Jeong S, Baek J, Cho S, Hwang S J, Park J. Adaptive-RAG: Learning to Adapt Retrieval-Augmented Large Language Models through Question Complexity. NAACL, 2024: 7036–7050. https://doi.org/10.18653/v1/2024.naacl-long.389</ns0:t>
      </ns0:r>
    </ns0:p>
    <ns0:p>
      <ns0:pPr>
        <ns0:widowControl/>
        <ns0:spacing ns0:after="0" ns0:before="0" ns0:line="240" ns0:lineRule="auto"/>
      </ns0:pPr>
      <ns0:r>
        <ns0:t>[15] Han W, Xiao X, Li Y, Wang J, Pechenizkiy M, Fang M. Adaptive iterative retrieval for enhanced retrieval-augmented generation. Neurocomputing 666, 2026: 132272. https://doi.org/10.1016/j.neucom.2025.132272</ns0:t>
      </ns0:r>
    </ns0:p>
    <ns0:p>
      <ns0:pPr>
        <ns0:widowControl/>
        <ns0:spacing ns0:after="0" ns0:before="0" ns0:line="240" ns0:lineRule="auto"/>
      </ns0:pPr>
      <ns0:r>
        <ns0:t>[16] Yao S, et al. ReAct: Synergizing Reasoning and Acting in Language Models. International Conference on Learning Representations (ICLR 2023). https://arxiv.org/abs/2210.03629</ns0:t>
      </ns0:r>
    </ns0:p>
    <ns0:p>
      <ns0:pPr>
        <ns0:widowControl/>
        <ns0:spacing ns0:after="0" ns0:before="0" ns0:line="240" ns0:lineRule="auto"/>
      </ns0:pPr>
      <ns0:r>
        <ns0:t>[17] Li B, Fan S, Zhu S, Wen L. CoLE: A collaborative legal expert prompting framework for large language models in law. Knowledge-Based Systems 311, 2025: 113052. https://doi.org/10.1016/j.knosys.2025.113052</ns0:t>
      </ns0:r>
    </ns0:p>
    <ns0:p>
      <ns0:pPr>
        <ns0:widowControl/>
        <ns0:spacing ns0:after="0" ns0:before="0" ns0:line="240" ns0:lineRule="auto"/>
      </ns0:pPr>
      <ns0:r>
        <ns0:t>[18] Wang H, et al. Learning to break: Knowledge-enhanced reasoning in multi-agent debate system. Neurocomputing 618, 2025: 129063. https://doi.org/10.1016/j.neucom.2024.129063</ns0:t>
      </ns0:r>
    </ns0:p>
    <ns0:p>
      <ns0:pPr>
        <ns0:widowControl/>
        <ns0:spacing ns0:after="0" ns0:before="0" ns0:line="240" ns0:lineRule="auto"/>
      </ns0:pPr>
      <ns0:r>
        <ns0:t>[19] Gao T, Yen H, Yu J, Chen D. Enabling Large Language Models to Generate Text with Citations. EMNLP, 2023: 6465–6488. https://doi.org/10.18653/v1/2023.emnlp-main.398</ns0:t>
      </ns0:r>
    </ns0:p>
    <ns0:p>
      <ns0:pPr>
        <ns0:widowControl/>
        <ns0:spacing ns0:after="0" ns0:before="0" ns0:line="240" ns0:lineRule="auto"/>
      </ns0:pPr>
      <ns0:r>
        <ns0:t>[20] Es S, James J, Espinosa Anke L, Schockaert S. RAGAs: Automated Evaluation of Retrieval Augmented Generation. EACL System Demonstrations, 2024: 150–158. https://doi.org/10.18653/v1/2024.eacl-demo.16</ns0:t>
      </ns0:r>
    </ns0:p>
    <ns0:p>
      <ns0:pPr>
        <ns0:widowControl/>
        <ns0:spacing ns0:after="0" ns0:before="0" ns0:line="240" ns0:lineRule="auto"/>
      </ns0:pPr>
      <ns0:r>
        <ns0:t>[21] Ru D, et al. RAGChecker: A Fine-grained Framework for Diagnosing Retrieval-Augmented Generation. Advances in Neural Information Processing Systems 37 (NeurIPS 2024), Datasets and Benchmarks Track. https://doi.org/10.52202/079017-0692</ns0:t>
      </ns0:r>
    </ns0:p>
    <ns0:p>
      <ns0:pPr>
        <ns0:widowControl/>
        <ns0:spacing ns0:after="0" ns0:before="0" ns0:line="240" ns0:lineRule="auto"/>
      </ns0:pPr>
      <ns0:r>
        <ns0:t>[22] Pipitone N, Alami G H. LegalBench-RAG: A Benchmark for Retrieval-Augmented Generation in the Legal Domain. arXiv, 2024. https://arxiv.org/abs/2408.10343</ns0:t>
      </ns0:r>
    </ns0:p>
    <ns0:p>
      <ns0:pPr>
        <ns0:widowControl/>
        <ns0:spacing ns0:after="0" ns0:before="0" ns0:line="240" ns0:lineRule="auto"/>
      </ns0:pPr>
      <ns0:r>
        <ns0:t>[23] Liu N F, et al. Lost in the Middle: How Language Models Use Long Contexts. TACL 12, 2024: 157–173. https://doi.org/10.1162/tacl_a_00638</ns0:t>
      </ns0:r>
    </ns0:p>
    <ns0:p>
      <ns0:pPr>
        <ns0:widowControl/>
        <ns0:spacing ns0:after="0" ns0:before="0" ns0:line="240" ns0:lineRule="auto"/>
      </ns0:pPr>
      <ns0:r>
        <ns0:t>[24] Kimi. 模型配置. 服务别名与默认思考档位说明；底层checkpoint revision及运行时档位未核实，核对日期2026-10-20及2026-10-23。 https://www.kimi.com/help/kimi-code/models</ns0:t>
      </ns0:r>
    </ns0:p>
    <ns0:p>
      <ns0:pPr>
        <ns0:widowControl/>
        <ns0:spacing ns0:after="0" ns0:before="0" ns0:line="240" ns0:lineRule="auto"/>
      </ns0:pPr>
      <ns0:r>
        <ns0:t>[25] 中国证监会. 第182号令《上市公司信息披露管理办法》（2021）及第226号令《上市公司信息披露管理办法》（2025）。 https://www.csrc.gov.cn/csrc/c101864/c2ee1a791fddc4f5ebeeb70aa8e2399cf/content.shtml; https://www.csrc.gov.cn/csrc/c101953/c7547359/content.shtml</ns0:t>
      </ns0:r>
    </ns0:p>
    <ns0:p>
      <ns0:pPr>
        <ns0:widowControl/>
        <ns0:spacing ns0:after="0" ns0:before="0" ns0:line="240" ns0:lineRule="auto"/>
      </ns0:pPr>
      <ns0:r>
        <ns0:t>[26] 中国证监会. 第62号公告《关于修改〈上市公司章程指引〉的决定》（2023）及第6号公告《上市公司章程指引》（2025）。 https://www.csrc.gov.cn/csrc/c101954/c7449659/content.shtml; https://www.csrc.gov.cn/csrc/c101954/c7547791/content.shtml</ns0:t>
      </ns0:r>
    </ns0:p>
    <ns0:p>
      <ns0:pPr>
        <ns0:widowControl/>
        <ns0:spacing ns0:after="0" ns0:before="0" ns0:line="240" ns0:lineRule="auto"/>
      </ns0:pPr>
      <ns0:r>
        <ns0:t>[27] 中国证监会. 第29号公告《上市公司治理准则》（2018）及第18号公告《上市公司治理准则》（2025）。 https://www.csrc.gov.cn/csrc/c101864/c1024585/content.shtml; https://www.csrc.gov.cn/csrc/c101954/c7589726/content.shtml</ns0:t>
      </ns0:r>
    </ns0:p>
    <ns0:p>
      <ns0:pPr>
        <ns0:widowControl/>
        <ns0:spacing ns0:after="0" ns0:before="0" ns0:line="240" ns0:lineRule="auto"/>
      </ns0:pPr>
      <ns0:r>
        <ns0:t>[28] Wang R, Balloccu S. ARQA: A Benchmark for Grounded Table–Text QA in Enterprise Annual Reports. Proceedings of the 19th Conference of the European Chapter of the Association for Computational Linguistics, Industry Track, 2026: 847–868. https://doi.org/10.18653/v1/2026.eacl-industry.63</ns0:t>
      </ns0:r>
    </ns0:p>
    <ns0:p>
      <ns0:pPr>
        <ns0:widowControl/>
        <ns0:spacing ns0:after="0" ns0:before="0" ns0:line="240" ns0:lineRule="auto"/>
      </ns0:pPr>
      <ns0:r>
        <ns0:t>[29] Zhu T, Liu M, Kurfali M. CFQA: A Chinese Financial Question Answering Benchmark from Corporate Annual Reports. Proceedings of the 7th Financial Narrative Processing Workshop, 2026: 28–38. https://doi.org/10.63317/4e6fhrncfrbu</ns0:t>
      </ns0:r>
    </ns0:p>
    <ns0:p>
      <ns0:pPr>
        <ns0:widowControl/>
        <ns0:spacing ns0:after="0" ns0:before="0" ns0:line="240" ns0:lineRule="auto"/>
      </ns0:pPr>
      <ns0:r>
        <ns0:t xml:space="preserve">[30] Cheng H, Wang K, Wang Q, Liu T, Sheng K. A Chinese financial event knowledge graph-based retrieval-augmented generation framework for financial question answering. Engineering Applications of Artificial Intelligence, 175 (2026): 114670. https://doi.org/10.1016/j.engappai.2026.114670</ns0:t>
      </ns0:r>
    </ns0:p>
    <ns0:p>
      <ns0:pPr>
        <ns0:widowControl/>
        <ns0:spacing ns0:after="0" ns0:before="0" ns0:line="240" ns0:lineRule="auto"/>
      </ns0:pPr>
      <ns0:r>
        <ns0:t xml:space="preserve">[31] 立讯精密工业股份有限公司. 2024年年度报告[EB/OL]. 巨潮资讯网, 2025-04-26. https://static.cninfo.com.cn/finalpage/2025-04-26/1223326862.PDF (访问日期: 2026-10-28).</ns0:t>
      </ns0:r>
    </ns0:p>
    <ns0:p>
      <ns0:pPr>
        <ns0:pStyle ns0:val="Heading1"/>
        <ns0:pageBreakBefore/>
      </ns0:pPr>
      <ns0:r>
        <ns0:t>附录A 回放与审计复现说明</ns0:t>
      </ns0:r>
    </ns0:p>
    <ns0:p>
      <ns0:pPr>
        <ns0:widowControl/>
      </ns0:pPr>
      <ns0:r>
        <ns0: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ns0:t>
      </ns0:r>
    </ns0:p>
    <ns0:p>
      <ns0:pPr>
        <ns0:widowControl/>
      </ns0:pPr>
      <ns0:r>
        <ns0:t>执行核验覆盖400个计划单元。历史评分包包含386条回答记录（其中31条为会话补充回答），对应3,088个原始评分字段；会话补充回答现已排除，纳入当前分析的是355条供应商输出。原配置120个上下文逐字一致，参考证据123条参考来源位置均可在索引中定位。评分者在正文仅以人员1、人员2表示；历史评分和失败记录保留，新增分析不回溯称为预注册。</ns0:t>
      </ns0:r>
    </ns0:p>
    <ns0:p>
      <ns0:pPr/>
      <ns0:r>
        <ns0:t>跨模型补充运行的固定提示、模型版本、逐题输出及评分结果保存在项目材料中；Qwen运行目录为results/runs/qwen_cuda_cross_model_20261029_01，复算摘要为results/runs/qwen_cuda_cross_model_score_20261029_03/summary.json，对应脚本为scripts/run_qwen_cuda_cross_model_20261029.py和scripts/score_qwen_cross_model_20261029.py。两版既有参考及其来源均保留，未新增人工标注。</ns0:t>
      </ns0:r>
    </ns0:p>
    <ns0:p>
      <ns0:pPr>
        <ns0:pStyle ns0:val="Heading1"/>
      </ns0:pPr>
      <ns0:r>
        <ns0:t>附录B 写作与投稿状态</ns0:t>
      </ns0:r>
    </ns0:p>
    <ns0:p>
      <ns0:pPr>
        <ns0:widowControl/>
      </ns0:pPr>
      <ns0:r>
        <ns0:t>本稿为中文实证研究稿，含英文题名与摘要，当前版本聚焦年报与法规双源RAG的检索组织比较。作者、单位、基金、利益冲突、CRediT和AI辅助写作披露须由作者按真实情况补齐。版式参考已取得全文的领域RAG实证论文，采用单栏与可编辑表格；不复制出版社刊头或出版身份。作者信息核对并选定目标期刊后，仍需按其模板整理。篇幅和图表数量不构成期刊分区或录用保证。跨年度与Agent扩展材料保留在原合并扩展稿中，不计入本聚焦稿的主结果。</ns0:t>
      </ns0:r>
    </ns0:p>
    <ns0:sectPr ns0:rsidR="00FC693F" ns0:rsidRPr="0006063C" ns0:rsidSect="00034616">
      <ns0:footerReference ns0:type="default" ns5:id="rId9"/>
      <ns0:pgSz ns0:w="11906" ns0:h="16838"/>
      <ns0:pgMar ns0:top="1134" ns0:right="1191" ns0:bottom="1134" ns0:left="1191" ns0:header="510" ns0:footer="51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