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检索索引使用从1开始的PDF物理页序。人工来源核验时，若页面标有印刷页码则另行记录；两类页码不互相替代，也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与2018年版治理准则未作为独立正文纳入本轮检索范围。DOC343文本同时包含2023年修改决定及随后重新公布的章程指引全文；冻结方案排除文本版DOC343，但收录对应官方PDF（OFFICIAL-DOC343，59页）。G2的冻结top-10中有7题检出该PDF物理第2页，均属修改决定部分；该计数不验证语义支持或具体时点适用[25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覆盖400个计划单元。历史评分包包含386条回答记录（其中31条为会话补充回答），对应3,088个原始评分字段；会话补充回答现已排除，纳入当前分析的是355条供应商输出。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