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In the merged-candidate retrieval condition, passages from both sources enter a single list ranked by query relevance; the ranking does not explicitly encode the evidentiary role of each passage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answer and citation quality [19]; RAGAs provides automated evaluation of retrieved context and faithfulness [20]; and RAGChecker offers fine-grained diagnostics of retrieval and generation [21]. Together, these frameworks cover complementary evaluation dimensions, suggesting that surface answer quality or citation parseability alone cannot fully characterize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Chinese financial event knowledge graph and research-report QA</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Graph-based event QA; this study compares source organization for disclosures and independent regulatory evidence, not graph construction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The retrieval index uses one-based physical PDF page order. During human source review, printed page labels are recorded separately when present; the two page references are not interchangeable or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evidence records,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evidence records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each checked the actual answers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 The scoring anchors for 0, 1, and 2 and the treatment of U are listed in Supplementary Table S0. This simplified rubric was developed after we reviewed output availability and some answers; accordingly, the ratings and comparisons are exploratory descriptive analyses, not preregistered H1/H2 tests.</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lower endpoints and the upper endpoints separately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We performed an arithmetic replay of 16 successful candidate retrievals across eight retrieval configurations for one question, checking consistency among the recorded channel candidates, fusion results, and final rankings. This check does not verify semantic relevance or establish that the entire primary experiment can be replayed. We did not measure whether these records improve human review accuracy or reduce review costs. Traceability does not alter the observed answer-quality results; if a simpler configuration performs better, it should be reported rather than selectively presenting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In the prespecified 20-question source-removal diagnostic, the no-annual-report and no-regulation conditions each produced 20 valid answers. Pairing each with the full dual-source G3 condition yielded 15 comparable questions. In the observed pairs, the two-rater mean score differences for G3 versus no annual report and no regulation were +0.967 and +0.733, respectively, on the 0–8 scale. G3 was missing for the other five questions; sharp bounds on the 20-question mean differences based on the scale endpoints were [−0.900, 1.100] and [−1.150, 0.850], respectively, both spanning zero. Removing a source changes both evidence content and context length; the observations are consistent with complementary materials but do not identify a pure source-role effect.</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historical Order No. 182, the consolidated full text of the 2023 amendments to the Guidelines, and the 2018 Code of Corporate Governance were not independently added to the knowledge base; DOC343 is only the 2023 amendment decision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This study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The historical rating package contains 386 answer records, including 31 session-generated responses, with 3,088 original rating fields. Session-generated responses were excluded; the current analysis includes 355 provider outputs. All 120 contexts under the original configuration were reproduced character for character, and 123 reference evidence locations could be found in the index. Raters are identified in the text as Rater 1 and Rater 2. Historical scores and failures are retained; added analyses are not retrospectively described as preregistered.</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Cross-year and agent extensions remain in the separate merged extension manuscript and are not part of this paper’s primary results.</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