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HealthLens SDOH Project</w:t>
        <w:br/>
        <w:t>End-to-End Steps: Data → Target → Model</w:t>
      </w:r>
    </w:p>
    <w:p>
      <w:pPr>
        <w:jc w:val="center"/>
      </w:pPr>
      <w:r>
        <w:rPr>
          <w:i/>
        </w:rPr>
        <w:t>Working plan based on the current repository state and uploaded target-label outputs</w:t>
      </w:r>
    </w:p>
    <w:p>
      <w:pPr>
        <w:pStyle w:val="Heading1"/>
      </w:pPr>
      <w:r>
        <w:t>1. Current Position</w:t>
      </w:r>
    </w:p>
    <w:p>
      <w:r>
        <w:t>The project has completed the main county-level SDOH data integration and member enrichment stages. The next major stage is target validation and modelling. The target-label files currently contain clinical/utilization-derived outcomes from the available Synthea data.</w:t>
      </w:r>
    </w:p>
    <w:p>
      <w:pPr>
        <w:pStyle w:val="Heading1"/>
      </w:pPr>
      <w:r>
        <w:t>2. Verified Data Flow</w:t>
      </w:r>
    </w:p>
    <w:p>
      <w:pPr>
        <w:pStyle w:val="ListNumber"/>
      </w:pPr>
      <w:r>
        <w:rPr>
          <w:b/>
        </w:rPr>
        <w:t xml:space="preserve">Raw source data: </w:t>
      </w:r>
      <w:r>
        <w:t>Synthea clinical/member data, ACS 2024 5-year county data, CDC PLACES county data, and USDA SRAM tract data.</w:t>
      </w:r>
    </w:p>
    <w:p>
      <w:pPr>
        <w:pStyle w:val="ListNumber"/>
      </w:pPr>
      <w:r>
        <w:rPr>
          <w:b/>
        </w:rPr>
        <w:t xml:space="preserve">Geography standardization: </w:t>
      </w:r>
      <w:r>
        <w:t>Use county_fips as the common geographic key. Do not use county name, ZIP, coordinates, row order, or tract assignment for the county merge.</w:t>
      </w:r>
    </w:p>
    <w:p>
      <w:pPr>
        <w:pStyle w:val="ListNumber"/>
      </w:pPr>
      <w:r>
        <w:rPr>
          <w:b/>
        </w:rPr>
        <w:t xml:space="preserve">ACS preprocessing: </w:t>
      </w:r>
      <w:r>
        <w:t>Read the eight verified ACS 2024 5-year ZIP sources, remove the export-label row, validate 0500000US + five-digit county FIPS, and retain the selected ACS variables.</w:t>
      </w:r>
    </w:p>
    <w:p>
      <w:pPr>
        <w:pStyle w:val="ListNumber"/>
      </w:pPr>
      <w:r>
        <w:rPr>
          <w:b/>
        </w:rPr>
        <w:t xml:space="preserve">SRAM county aggregation: </w:t>
      </w:r>
      <w:r>
        <w:t>Aggregate tract-level SRAM measures to county level using legitimate county FIPS, retaining tract counts and explicitly reporting missing coverage.</w:t>
      </w:r>
    </w:p>
    <w:p>
      <w:pPr>
        <w:pStyle w:val="ListNumber"/>
      </w:pPr>
      <w:r>
        <w:rPr>
          <w:b/>
        </w:rPr>
        <w:t xml:space="preserve">County SDOH merge: </w:t>
      </w:r>
      <w:r>
        <w:t>Merge ACS + PLACES + SRAM at county_fips. Do not impute source values at this stage.</w:t>
      </w:r>
    </w:p>
    <w:p>
      <w:pPr>
        <w:pStyle w:val="ListNumber"/>
      </w:pPr>
      <w:r>
        <w:rPr>
          <w:b/>
        </w:rPr>
        <w:t xml:space="preserve">Member enrichment: </w:t>
      </w:r>
      <w:r>
        <w:t>Join county SDOH features to Synthea members using member county_fips. Members without county_fips remain unmatched rather than receiving an artificial geography.</w:t>
      </w:r>
    </w:p>
    <w:p>
      <w:pPr>
        <w:pStyle w:val="ListNumber"/>
      </w:pPr>
      <w:r>
        <w:rPr>
          <w:b/>
        </w:rPr>
        <w:t xml:space="preserve">Feature audit: </w:t>
      </w:r>
      <w:r>
        <w:t>Check numeric types, missingness, zero variance, and highly correlated features before modelling.</w:t>
      </w:r>
    </w:p>
    <w:p>
      <w:pPr>
        <w:pStyle w:val="ListNumber"/>
      </w:pPr>
      <w:r>
        <w:rPr>
          <w:b/>
        </w:rPr>
        <w:t xml:space="preserve">Feature selection: </w:t>
      </w:r>
      <w:r>
        <w:t>Construct the SDOH model feature set and keep demographic covariates separate where appropriate.</w:t>
      </w:r>
    </w:p>
    <w:p>
      <w:pPr>
        <w:pStyle w:val="ListNumber"/>
      </w:pPr>
      <w:r>
        <w:rPr>
          <w:b/>
        </w:rPr>
        <w:t xml:space="preserve">Clinical target construction: </w:t>
      </w:r>
      <w:r>
        <w:t>Use Synthea clinical/utilization information to create and validate member-level target labels.</w:t>
      </w:r>
    </w:p>
    <w:p>
      <w:pPr>
        <w:pStyle w:val="ListNumber"/>
      </w:pPr>
      <w:r>
        <w:rPr>
          <w:b/>
        </w:rPr>
        <w:t xml:space="preserve">Target leakage audit: </w:t>
      </w:r>
      <w:r>
        <w:t>Verify that target construction does not use SDOH model features or information that would only be known after the prediction point.</w:t>
      </w:r>
    </w:p>
    <w:p>
      <w:pPr>
        <w:pStyle w:val="ListNumber"/>
      </w:pPr>
      <w:r>
        <w:rPr>
          <w:b/>
        </w:rPr>
        <w:t xml:space="preserve">Model dataset: </w:t>
      </w:r>
      <w:r>
        <w:t>Join the selected SDOH predictors with the validated target using member_id.</w:t>
      </w:r>
    </w:p>
    <w:p>
      <w:pPr>
        <w:pStyle w:val="ListNumber"/>
      </w:pPr>
      <w:r>
        <w:rPr>
          <w:b/>
        </w:rPr>
        <w:t xml:space="preserve">Train/test strategy: </w:t>
      </w:r>
      <w:r>
        <w:t>Split at member level and preserve target class proportions where feasible. Do not duplicate members across train and test.</w:t>
      </w:r>
    </w:p>
    <w:p>
      <w:pPr>
        <w:pStyle w:val="ListNumber"/>
      </w:pPr>
      <w:r>
        <w:rPr>
          <w:b/>
        </w:rPr>
        <w:t xml:space="preserve">Preprocessing inside training: </w:t>
      </w:r>
      <w:r>
        <w:t>Fit imputation/scaling/feature-selection transformations on the training data only, then apply them to validation/test data.</w:t>
      </w:r>
    </w:p>
    <w:p>
      <w:pPr>
        <w:pStyle w:val="ListNumber"/>
      </w:pPr>
      <w:r>
        <w:rPr>
          <w:b/>
        </w:rPr>
        <w:t xml:space="preserve">Baseline modelling: </w:t>
      </w:r>
      <w:r>
        <w:t>Start with an interpretable baseline such as logistic regression, followed by tree-based models if justified.</w:t>
      </w:r>
    </w:p>
    <w:p>
      <w:pPr>
        <w:pStyle w:val="ListNumber"/>
      </w:pPr>
      <w:r>
        <w:rPr>
          <w:b/>
        </w:rPr>
        <w:t xml:space="preserve">Evaluation: </w:t>
      </w:r>
      <w:r>
        <w:t>Use appropriate classification metrics, especially PR-AUC, ROC-AUC, recall/sensitivity, precision, F1, calibration, and confusion matrix.</w:t>
      </w:r>
    </w:p>
    <w:p>
      <w:pPr>
        <w:pStyle w:val="ListNumber"/>
      </w:pPr>
      <w:r>
        <w:rPr>
          <w:b/>
        </w:rPr>
        <w:t xml:space="preserve">Explainability: </w:t>
      </w:r>
      <w:r>
        <w:t>Identify which SDOH factors contribute to predictions and report them as associations/predictive drivers, not causal effects.</w:t>
      </w:r>
    </w:p>
    <w:p>
      <w:pPr>
        <w:pStyle w:val="ListNumber"/>
      </w:pPr>
      <w:r>
        <w:rPr>
          <w:b/>
        </w:rPr>
        <w:t xml:space="preserve">Validation and documentation: </w:t>
      </w:r>
      <w:r>
        <w:t>Record data versions, feature definitions, target rules, splits, metrics, limitations, and reproducibility information.</w:t>
      </w:r>
    </w:p>
    <w:p>
      <w:pPr>
        <w:pStyle w:val="Heading1"/>
      </w:pPr>
      <w:r>
        <w:t>3. Current Member-Level SDOH Dataset</w:t>
      </w:r>
    </w:p>
    <w:p>
      <w:r>
        <w:t>The current member SDOH model dataset contains 108 members and 56 columns in the uploaded inspection. It includes member/geographic identifiers, selected ACS features, PLACES health/context features, and county-aggregated SRAM accessibility features.</w:t>
      </w:r>
    </w:p>
    <w:p>
      <w:r>
        <w:t>The current SDOH feature-selection output contains 46 SDOH model features, with demographic context retained separately. Missingness is concentrated in the 21 members whose county_fips did not match the available county SDOH data. This should be handled explicitly; it should not be silently imputed or assigned to a synthetic county.</w:t>
      </w:r>
    </w:p>
    <w:p>
      <w:pPr>
        <w:pStyle w:val="Heading1"/>
      </w:pPr>
      <w:r>
        <w:t>4. Clinical Target Data Now Available</w:t>
      </w:r>
    </w:p>
    <w:p>
      <w:r>
        <w:t>The uploaded clinical target file contains 108 member-level records and these fields:</w:t>
      </w:r>
    </w:p>
    <w:p>
      <w:pPr>
        <w:pStyle w:val="ListBullet"/>
      </w:pPr>
      <w:r>
        <w:t>member_id</w:t>
      </w:r>
    </w:p>
    <w:p>
      <w:pPr>
        <w:pStyle w:val="ListBullet"/>
      </w:pPr>
      <w:r>
        <w:t>encounter_count</w:t>
      </w:r>
    </w:p>
    <w:p>
      <w:pPr>
        <w:pStyle w:val="ListBullet"/>
      </w:pPr>
      <w:r>
        <w:t>emergency_or_inpatient_use</w:t>
      </w:r>
    </w:p>
    <w:p>
      <w:pPr>
        <w:pStyle w:val="ListBullet"/>
      </w:pPr>
      <w:r>
        <w:t>condition_occurrence_count</w:t>
      </w:r>
    </w:p>
    <w:p>
      <w:pPr>
        <w:pStyle w:val="ListBullet"/>
      </w:pPr>
      <w:r>
        <w:t>chronic_condition_burden</w:t>
      </w:r>
    </w:p>
    <w:p>
      <w:pPr>
        <w:pStyle w:val="ListBullet"/>
      </w:pPr>
      <w:r>
        <w:t>procedure_occurrence_count</w:t>
      </w:r>
    </w:p>
    <w:p>
      <w:pPr>
        <w:pStyle w:val="ListBullet"/>
      </w:pPr>
      <w:r>
        <w:t>procedure_burden</w:t>
      </w:r>
    </w:p>
    <w:p>
      <w:pPr>
        <w:pStyle w:val="ListBullet"/>
      </w:pPr>
      <w:r>
        <w:t>high_utilization</w:t>
      </w:r>
    </w:p>
    <w:p>
      <w:pPr>
        <w:pStyle w:val="ListBullet"/>
      </w:pPr>
      <w:r>
        <w:t>complex_care_need</w:t>
      </w:r>
    </w:p>
    <w:p>
      <w:r>
        <w:t>The uploaded target-quality summary reports: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Missing</w:t>
            </w:r>
          </w:p>
        </w:tc>
        <w:tc>
          <w:tcPr>
            <w:tcW w:type="dxa" w:w="2520"/>
          </w:tcPr>
          <w:p>
            <w:r>
              <w:t>Unique</w:t>
            </w:r>
          </w:p>
        </w:tc>
        <w:tc>
          <w:tcPr>
            <w:tcW w:type="dxa" w:w="2520"/>
          </w:tcPr>
          <w:p>
            <w:r>
              <w:t>Mean / prevalence</w:t>
            </w:r>
          </w:p>
        </w:tc>
      </w:tr>
      <w:tr>
        <w:tc>
          <w:tcPr>
            <w:tcW w:type="dxa" w:w="2520"/>
          </w:tcPr>
          <w:p>
            <w:r>
              <w:t>high_utilization</w:t>
            </w:r>
          </w:p>
        </w:tc>
        <w:tc>
          <w:tcPr>
            <w:tcW w:type="dxa" w:w="2520"/>
          </w:tcPr>
          <w:p>
            <w:r>
              <w:t>0</w:t>
            </w:r>
          </w:p>
        </w:tc>
        <w:tc>
          <w:tcPr>
            <w:tcW w:type="dxa" w:w="2520"/>
          </w:tcPr>
          <w:p>
            <w:r>
              <w:t>2</w:t>
            </w:r>
          </w:p>
        </w:tc>
        <w:tc>
          <w:tcPr>
            <w:tcW w:type="dxa" w:w="2520"/>
          </w:tcPr>
          <w:p>
            <w:r>
              <w:t>25.00% positive</w:t>
            </w:r>
          </w:p>
        </w:tc>
      </w:tr>
      <w:tr>
        <w:tc>
          <w:tcPr>
            <w:tcW w:type="dxa" w:w="2520"/>
          </w:tcPr>
          <w:p>
            <w:r>
              <w:t>emergency_or_inpatient_use</w:t>
            </w:r>
          </w:p>
        </w:tc>
        <w:tc>
          <w:tcPr>
            <w:tcW w:type="dxa" w:w="2520"/>
          </w:tcPr>
          <w:p>
            <w:r>
              <w:t>0</w:t>
            </w:r>
          </w:p>
        </w:tc>
        <w:tc>
          <w:tcPr>
            <w:tcW w:type="dxa" w:w="2520"/>
          </w:tcPr>
          <w:p>
            <w:r>
              <w:t>2</w:t>
            </w:r>
          </w:p>
        </w:tc>
        <w:tc>
          <w:tcPr>
            <w:tcW w:type="dxa" w:w="2520"/>
          </w:tcPr>
          <w:p>
            <w:r>
              <w:t>70.37% positive</w:t>
            </w:r>
          </w:p>
        </w:tc>
      </w:tr>
      <w:tr>
        <w:tc>
          <w:tcPr>
            <w:tcW w:type="dxa" w:w="2520"/>
          </w:tcPr>
          <w:p>
            <w:r>
              <w:t>complex_care_need</w:t>
            </w:r>
          </w:p>
        </w:tc>
        <w:tc>
          <w:tcPr>
            <w:tcW w:type="dxa" w:w="2520"/>
          </w:tcPr>
          <w:p>
            <w:r>
              <w:t>0</w:t>
            </w:r>
          </w:p>
        </w:tc>
        <w:tc>
          <w:tcPr>
            <w:tcW w:type="dxa" w:w="2520"/>
          </w:tcPr>
          <w:p>
            <w:r>
              <w:t>2</w:t>
            </w:r>
          </w:p>
        </w:tc>
        <w:tc>
          <w:tcPr>
            <w:tcW w:type="dxa" w:w="2520"/>
          </w:tcPr>
          <w:p>
            <w:r>
              <w:t>21.30% positive</w:t>
            </w:r>
          </w:p>
        </w:tc>
      </w:tr>
      <w:tr>
        <w:tc>
          <w:tcPr>
            <w:tcW w:type="dxa" w:w="2520"/>
          </w:tcPr>
          <w:p>
            <w:r>
              <w:t>chronic_condition_burden</w:t>
            </w:r>
          </w:p>
        </w:tc>
        <w:tc>
          <w:tcPr>
            <w:tcW w:type="dxa" w:w="2520"/>
          </w:tcPr>
          <w:p>
            <w:r>
              <w:t>0</w:t>
            </w:r>
          </w:p>
        </w:tc>
        <w:tc>
          <w:tcPr>
            <w:tcW w:type="dxa" w:w="2520"/>
          </w:tcPr>
          <w:p>
            <w:r>
              <w:t>36</w:t>
            </w:r>
          </w:p>
        </w:tc>
        <w:tc>
          <w:tcPr>
            <w:tcW w:type="dxa" w:w="2520"/>
          </w:tcPr>
          <w:p>
            <w:r>
              <w:t>18.76</w:t>
            </w:r>
          </w:p>
        </w:tc>
      </w:tr>
      <w:tr>
        <w:tc>
          <w:tcPr>
            <w:tcW w:type="dxa" w:w="2520"/>
          </w:tcPr>
          <w:p>
            <w:r>
              <w:t>procedure_burden</w:t>
            </w:r>
          </w:p>
        </w:tc>
        <w:tc>
          <w:tcPr>
            <w:tcW w:type="dxa" w:w="2520"/>
          </w:tcPr>
          <w:p>
            <w:r>
              <w:t>0</w:t>
            </w:r>
          </w:p>
        </w:tc>
        <w:tc>
          <w:tcPr>
            <w:tcW w:type="dxa" w:w="2520"/>
          </w:tcPr>
          <w:p>
            <w:r>
              <w:t>48</w:t>
            </w:r>
          </w:p>
        </w:tc>
        <w:tc>
          <w:tcPr>
            <w:tcW w:type="dxa" w:w="2520"/>
          </w:tcPr>
          <w:p>
            <w:r>
              <w:t>30.23</w:t>
            </w:r>
          </w:p>
        </w:tc>
      </w:tr>
    </w:tbl>
    <w:p>
      <w:pPr>
        <w:pStyle w:val="Heading1"/>
      </w:pPr>
      <w:r>
        <w:t>5. Target Validation — Do This Before Modelling</w:t>
      </w:r>
    </w:p>
    <w:p>
      <w:pPr>
        <w:pStyle w:val="ListNumber"/>
      </w:pPr>
      <w:r>
        <w:t>Document the exact rule used to create each binary target. The current output proves the labels exist, but the exact threshold/logic should be recorded before modelling.</w:t>
      </w:r>
    </w:p>
    <w:p>
      <w:pPr>
        <w:pStyle w:val="ListNumber"/>
      </w:pPr>
      <w:r>
        <w:t>Verify the target is derived only from clinical/utilization information that is appropriate for the intended prediction time window.</w:t>
      </w:r>
    </w:p>
    <w:p>
      <w:pPr>
        <w:pStyle w:val="ListNumber"/>
      </w:pPr>
      <w:r>
        <w:t>Check whether any SDOH predictor is itself used directly or indirectly to construct the target.</w:t>
      </w:r>
    </w:p>
    <w:p>
      <w:pPr>
        <w:pStyle w:val="ListNumber"/>
      </w:pPr>
      <w:r>
        <w:t>Check whether encounter_count, condition_occurrence_count, procedure_occurrence_count, or related clinical counts are being used as predictors when they were also used to define the target. If yes, treat this as leakage unless the prediction design explicitly permits it.</w:t>
      </w:r>
    </w:p>
    <w:p>
      <w:pPr>
        <w:pStyle w:val="ListNumber"/>
      </w:pPr>
      <w:r>
        <w:t>Confirm that every member_id occurs once in the target table.</w:t>
      </w:r>
    </w:p>
    <w:p>
      <w:pPr>
        <w:pStyle w:val="ListNumber"/>
      </w:pPr>
      <w:r>
        <w:t>Confirm zero missing targets and binary values where expected.</w:t>
      </w:r>
    </w:p>
    <w:p>
      <w:pPr>
        <w:pStyle w:val="ListNumber"/>
      </w:pPr>
      <w:r>
        <w:t>Review class balance. high_utilization and complex_care_need are minority-class outcomes; emergency_or_inpatient_use is substantially more common.</w:t>
      </w:r>
    </w:p>
    <w:p>
      <w:pPr>
        <w:pStyle w:val="ListNumber"/>
      </w:pPr>
      <w:r>
        <w:t>Select one primary target for the first model rather than training several targets simultaneously without a defined objective.</w:t>
      </w:r>
    </w:p>
    <w:p>
      <w:pPr>
        <w:pStyle w:val="Heading1"/>
      </w:pPr>
      <w:r>
        <w:t>6. Recommended Initial Target Strategy</w:t>
      </w:r>
    </w:p>
    <w:p>
      <w:r>
        <w:t>For the first SDOH prioritization model, use high_utilization as the primary candidate target, subject to validation of its construction rule. It has 25% positive cases in the current 108-member dataset, which provides a clearer prioritization problem than the 70.37% prevalence of emergency_or_inpatient_use.</w:t>
      </w:r>
    </w:p>
    <w:p>
      <w:r>
        <w:t>Keep complex_care_need as a secondary outcome for a later experiment. Keep emergency_or_inpatient_use as a separate clinical outcome unless there is a documented reason to make it the primary endpoint.</w:t>
      </w:r>
    </w:p>
    <w:p>
      <w:pPr>
        <w:pStyle w:val="Heading1"/>
      </w:pPr>
      <w:r>
        <w:t>7. Build the Modelling Table</w:t>
      </w:r>
    </w:p>
    <w:p>
      <w:pPr>
        <w:pStyle w:val="ListNumber"/>
      </w:pPr>
      <w:r>
        <w:t>Start from the validated member SDOH feature dataset.</w:t>
      </w:r>
    </w:p>
    <w:p>
      <w:pPr>
        <w:pStyle w:val="ListNumber"/>
      </w:pPr>
      <w:r>
        <w:t>Join the selected target table on member_id only.</w:t>
      </w:r>
    </w:p>
    <w:p>
      <w:pPr>
        <w:pStyle w:val="ListNumber"/>
      </w:pPr>
      <w:r>
        <w:t>Keep member_id only as an identifier; do not use it as a model feature.</w:t>
      </w:r>
    </w:p>
    <w:p>
      <w:pPr>
        <w:pStyle w:val="ListNumber"/>
      </w:pPr>
      <w:r>
        <w:t>Exclude raw geography identifiers such as county_fips, ZIP, FIPS, latitude, and longitude from the first predictive model unless there is a documented modelling reason.</w:t>
      </w:r>
    </w:p>
    <w:p>
      <w:pPr>
        <w:pStyle w:val="ListNumber"/>
      </w:pPr>
      <w:r>
        <w:t>Exclude clinical variables used to construct the target from the predictor matrix to prevent target leakage.</w:t>
      </w:r>
    </w:p>
    <w:p>
      <w:pPr>
        <w:pStyle w:val="ListNumber"/>
      </w:pPr>
      <w:r>
        <w:t>Keep the 46 selected SDOH features as the candidate predictor pool, then remove or consolidate problematic features during the modelling audit.</w:t>
      </w:r>
    </w:p>
    <w:p>
      <w:pPr>
        <w:pStyle w:val="ListNumber"/>
      </w:pPr>
      <w:r>
        <w:t>Create a final modelling manifest listing target, predictors, excluded fields, missingness handling, and split strategy.</w:t>
      </w:r>
    </w:p>
    <w:p>
      <w:pPr>
        <w:pStyle w:val="Heading1"/>
      </w:pPr>
      <w:r>
        <w:t>8. Missing Data Strategy</w:t>
      </w:r>
    </w:p>
    <w:p>
      <w:r>
        <w:t>Do not fill missing county SDOH values with synthetic values. The 21 unmatched members should first be identified and reported. For the initial model, compare a complete-case approach with a principled imputation approach only if the sample size permits it. Any imputation must be fitted on training data only.</w:t>
      </w:r>
    </w:p>
    <w:p>
      <w:pPr>
        <w:pStyle w:val="Heading1"/>
      </w:pPr>
      <w:r>
        <w:t>9. Feature Redundancy</w:t>
      </w:r>
    </w:p>
    <w:p>
      <w:r>
        <w:t>The previous audit identified three highly correlated pairs (absolute correlation ≥ 0.99):</w:t>
      </w:r>
    </w:p>
    <w:p>
      <w:pPr>
        <w:pStyle w:val="ListBullet"/>
      </w:pPr>
      <w:r>
        <w:t>population_total ↔ population_2020_sum: r = 0.99991</w:t>
      </w:r>
    </w:p>
    <w:p>
      <w:pPr>
        <w:pStyle w:val="ListBullet"/>
      </w:pPr>
      <w:r>
        <w:t>tract_count ↔ urban_tract_count: r = 0.99254</w:t>
      </w:r>
    </w:p>
    <w:p>
      <w:pPr>
        <w:pStyle w:val="ListBullet"/>
      </w:pPr>
      <w:r>
        <w:t>driving_low_access_population_beyond_1mi_10mi_count_sum ↔ straight_low_access_population_beyond_1mi_10mi_count_sum: r = 0.99483</w:t>
      </w:r>
    </w:p>
    <w:p>
      <w:r>
        <w:t>Do not automatically drop variables solely because they are correlated. For the first interpretable model, choose the more conceptually direct variable or use a documented dimensionality/reduction strategy.</w:t>
      </w:r>
    </w:p>
    <w:p>
      <w:pPr>
        <w:pStyle w:val="Heading1"/>
      </w:pPr>
      <w:r>
        <w:t>10. Model Training</w:t>
      </w:r>
    </w:p>
    <w:p>
      <w:pPr>
        <w:pStyle w:val="ListNumber"/>
      </w:pPr>
      <w:r>
        <w:t>Use a reproducible random seed.</w:t>
      </w:r>
    </w:p>
    <w:p>
      <w:pPr>
        <w:pStyle w:val="ListNumber"/>
      </w:pPr>
      <w:r>
        <w:t>Use a member-level stratified split when possible.</w:t>
      </w:r>
    </w:p>
    <w:p>
      <w:pPr>
        <w:pStyle w:val="ListNumber"/>
      </w:pPr>
      <w:r>
        <w:t>With only 108 members, prefer simple models and avoid large hyperparameter searches.</w:t>
      </w:r>
    </w:p>
    <w:p>
      <w:pPr>
        <w:pStyle w:val="ListNumber"/>
      </w:pPr>
      <w:r>
        <w:t>Train an interpretable logistic-regression baseline.</w:t>
      </w:r>
    </w:p>
    <w:p>
      <w:pPr>
        <w:pStyle w:val="ListNumber"/>
      </w:pPr>
      <w:r>
        <w:t>Optionally compare a small tree-based model such as random forest or gradient boosting.</w:t>
      </w:r>
    </w:p>
    <w:p>
      <w:pPr>
        <w:pStyle w:val="ListNumber"/>
      </w:pPr>
      <w:r>
        <w:t>Handle class imbalance using class weights or another justified method rather than blindly oversampling.</w:t>
      </w:r>
    </w:p>
    <w:p>
      <w:pPr>
        <w:pStyle w:val="ListNumber"/>
      </w:pPr>
      <w:r>
        <w:t>Keep all preprocessing steps inside a pipeline so that test information cannot leak into training.</w:t>
      </w:r>
    </w:p>
    <w:p>
      <w:pPr>
        <w:pStyle w:val="Heading1"/>
      </w:pPr>
      <w:r>
        <w:t>11. Model Evaluation</w:t>
      </w:r>
    </w:p>
    <w:p>
      <w:pPr>
        <w:pStyle w:val="ListNumber"/>
      </w:pPr>
      <w:r>
        <w:t>Report confusion matrix.</w:t>
      </w:r>
    </w:p>
    <w:p>
      <w:pPr>
        <w:pStyle w:val="ListNumber"/>
      </w:pPr>
      <w:r>
        <w:t>Report precision, recall/sensitivity, specificity, F1, and accuracy.</w:t>
      </w:r>
    </w:p>
    <w:p>
      <w:pPr>
        <w:pStyle w:val="ListNumber"/>
      </w:pPr>
      <w:r>
        <w:t>Report ROC-AUC, but do not rely on it alone for an imbalanced target.</w:t>
      </w:r>
    </w:p>
    <w:p>
      <w:pPr>
        <w:pStyle w:val="ListNumber"/>
      </w:pPr>
      <w:r>
        <w:t>Report PR-AUC because the primary high_utilization candidate has a 25% positive rate.</w:t>
      </w:r>
    </w:p>
    <w:p>
      <w:pPr>
        <w:pStyle w:val="ListNumber"/>
      </w:pPr>
      <w:r>
        <w:t>Check probability calibration if the model output will be interpreted as risk.</w:t>
      </w:r>
    </w:p>
    <w:p>
      <w:pPr>
        <w:pStyle w:val="ListNumber"/>
      </w:pPr>
      <w:r>
        <w:t>Report performance with confidence intervals or repeated resampling where practical, while acknowledging the small sample size.</w:t>
      </w:r>
    </w:p>
    <w:p>
      <w:pPr>
        <w:pStyle w:val="ListNumber"/>
      </w:pPr>
      <w:r>
        <w:t>Compare against a simple baseline model.</w:t>
      </w:r>
    </w:p>
    <w:p>
      <w:pPr>
        <w:pStyle w:val="Heading1"/>
      </w:pPr>
      <w:r>
        <w:t>12. SDOH Risk Prioritization</w:t>
      </w:r>
    </w:p>
    <w:p>
      <w:r>
        <w:t>After validation, convert model probabilities into a member prioritization score. Define operational tiers only after examining calibration and validation performance. The score should identify members who are more likely to meet the chosen clinical target, not claim that SDOH variables cause the outcome.</w:t>
      </w:r>
    </w:p>
    <w:p>
      <w:pPr>
        <w:pStyle w:val="Heading1"/>
      </w:pPr>
      <w:r>
        <w:t>13. Explainability and Knowledge Graph Use</w:t>
      </w:r>
    </w:p>
    <w:p>
      <w:r>
        <w:t>A knowledge graph can support semantic validation and interpretation of the target concept, SDOH concepts, clinical conditions, and relationships between them. It should not be treated as proof that the target labels are clinically correct. Clinical target definitions and validation should remain grounded in the source clinical data and documented rules.</w:t>
      </w:r>
    </w:p>
    <w:p>
      <w:pPr>
        <w:pStyle w:val="Heading1"/>
      </w:pPr>
      <w:r>
        <w:t>14. Final Validation Checklist</w:t>
      </w:r>
    </w:p>
    <w:p>
      <w:pPr>
        <w:pStyle w:val="ListBullet"/>
      </w:pPr>
      <w:r>
        <w:t>One row per member_id.</w:t>
      </w:r>
    </w:p>
    <w:p>
      <w:pPr>
        <w:pStyle w:val="ListBullet"/>
      </w:pPr>
      <w:r>
        <w:t>Target has no missing values.</w:t>
      </w:r>
    </w:p>
    <w:p>
      <w:pPr>
        <w:pStyle w:val="ListBullet"/>
      </w:pPr>
      <w:r>
        <w:t>Target definition is documented and reproducible.</w:t>
      </w:r>
    </w:p>
    <w:p>
      <w:pPr>
        <w:pStyle w:val="ListBullet"/>
      </w:pPr>
      <w:r>
        <w:t>No target-derived clinical variable leaks into predictors.</w:t>
      </w:r>
    </w:p>
    <w:p>
      <w:pPr>
        <w:pStyle w:val="ListBullet"/>
      </w:pPr>
      <w:r>
        <w:t>No post-outcome information leaks into predictors.</w:t>
      </w:r>
    </w:p>
    <w:p>
      <w:pPr>
        <w:pStyle w:val="ListBullet"/>
      </w:pPr>
      <w:r>
        <w:t>No artificial geography has been assigned.</w:t>
      </w:r>
    </w:p>
    <w:p>
      <w:pPr>
        <w:pStyle w:val="ListBullet"/>
      </w:pPr>
      <w:r>
        <w:t>County joins use county_fips only.</w:t>
      </w:r>
    </w:p>
    <w:p>
      <w:pPr>
        <w:pStyle w:val="ListBullet"/>
      </w:pPr>
      <w:r>
        <w:t>Missing SDOH data is explicitly handled.</w:t>
      </w:r>
    </w:p>
    <w:p>
      <w:pPr>
        <w:pStyle w:val="ListBullet"/>
      </w:pPr>
      <w:r>
        <w:t>Highly redundant predictors are reviewed.</w:t>
      </w:r>
    </w:p>
    <w:p>
      <w:pPr>
        <w:pStyle w:val="ListBullet"/>
      </w:pPr>
      <w:r>
        <w:t>Train/test preprocessing is isolated.</w:t>
      </w:r>
    </w:p>
    <w:p>
      <w:pPr>
        <w:pStyle w:val="ListBullet"/>
      </w:pPr>
      <w:r>
        <w:t>Class imbalance is addressed appropriately.</w:t>
      </w:r>
    </w:p>
    <w:p>
      <w:pPr>
        <w:pStyle w:val="ListBullet"/>
      </w:pPr>
      <w:r>
        <w:t>Baseline and final model metrics are reported.</w:t>
      </w:r>
    </w:p>
    <w:p>
      <w:pPr>
        <w:pStyle w:val="ListBullet"/>
      </w:pPr>
      <w:r>
        <w:t>Feature importance/explainability is documented.</w:t>
      </w:r>
    </w:p>
    <w:p>
      <w:pPr>
        <w:pStyle w:val="ListBullet"/>
      </w:pPr>
      <w:r>
        <w:t>Limitations are clearly stated, especially the 108-member sample size.</w:t>
      </w:r>
    </w:p>
    <w:p>
      <w:pPr>
        <w:pStyle w:val="Heading1"/>
      </w:pPr>
      <w:r>
        <w:t>15. Recommended Execution Order From Here</w:t>
      </w:r>
    </w:p>
    <w:p>
      <w:pPr>
        <w:pStyle w:val="ListNumber"/>
      </w:pPr>
      <w:r>
        <w:t>Validate the exact target-generation rules.</w:t>
      </w:r>
    </w:p>
    <w:p>
      <w:pPr>
        <w:pStyle w:val="ListNumber"/>
      </w:pPr>
      <w:r>
        <w:t>Run a target leakage audit.</w:t>
      </w:r>
    </w:p>
    <w:p>
      <w:pPr>
        <w:pStyle w:val="ListNumber"/>
      </w:pPr>
      <w:r>
        <w:t>Create the final member_id + predictors + target modelling table.</w:t>
      </w:r>
    </w:p>
    <w:p>
      <w:pPr>
        <w:pStyle w:val="ListNumber"/>
      </w:pPr>
      <w:r>
        <w:t>Resolve/report the 21 unmatched members and decide the missing-data policy.</w:t>
      </w:r>
    </w:p>
    <w:p>
      <w:pPr>
        <w:pStyle w:val="ListNumber"/>
      </w:pPr>
      <w:r>
        <w:t>Review the three highly correlated feature pairs.</w:t>
      </w:r>
    </w:p>
    <w:p>
      <w:pPr>
        <w:pStyle w:val="ListNumber"/>
      </w:pPr>
      <w:r>
        <w:t>Train logistic-regression baseline.</w:t>
      </w:r>
    </w:p>
    <w:p>
      <w:pPr>
        <w:pStyle w:val="ListNumber"/>
      </w:pPr>
      <w:r>
        <w:t>Evaluate with PR-AUC, ROC-AUC, recall, precision, F1, and calibration.</w:t>
      </w:r>
    </w:p>
    <w:p>
      <w:pPr>
        <w:pStyle w:val="ListNumber"/>
      </w:pPr>
      <w:r>
        <w:t>Train one small tree-based comparison model.</w:t>
      </w:r>
    </w:p>
    <w:p>
      <w:pPr>
        <w:pStyle w:val="ListNumber"/>
      </w:pPr>
      <w:r>
        <w:t>Compare models and select the simplest defensible model.</w:t>
      </w:r>
    </w:p>
    <w:p>
      <w:pPr>
        <w:pStyle w:val="ListNumber"/>
      </w:pPr>
      <w:r>
        <w:t>Generate member-level risk scores and prioritization tiers.</w:t>
      </w:r>
    </w:p>
    <w:p>
      <w:pPr>
        <w:pStyle w:val="ListNumber"/>
      </w:pPr>
      <w:r>
        <w:t>Run explainability analysis.</w:t>
      </w:r>
    </w:p>
    <w:p>
      <w:pPr>
        <w:pStyle w:val="ListNumber"/>
      </w:pPr>
      <w:r>
        <w:t>Document limitations and prepare the final SDOH risk-prioritization output.</w:t>
      </w:r>
    </w:p>
    <w:p>
      <w:pPr>
        <w:pStyle w:val="Heading1"/>
      </w:pPr>
      <w:r>
        <w:t>16. Current Status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Stage</w:t>
            </w:r>
          </w:p>
        </w:tc>
        <w:tc>
          <w:tcPr>
            <w:tcW w:type="dxa" w:w="5040"/>
          </w:tcPr>
          <w:p>
            <w:r>
              <w:t>Status</w:t>
            </w:r>
          </w:p>
        </w:tc>
      </w:tr>
      <w:tr>
        <w:tc>
          <w:tcPr>
            <w:tcW w:type="dxa" w:w="5040"/>
          </w:tcPr>
          <w:p>
            <w:r>
              <w:t>County-level ACS</w:t>
            </w:r>
          </w:p>
        </w:tc>
        <w:tc>
          <w:tcPr>
            <w:tcW w:type="dxa" w:w="5040"/>
          </w:tcPr>
          <w:p>
            <w:r>
              <w:t>Ready and validated</w:t>
            </w:r>
          </w:p>
        </w:tc>
      </w:tr>
      <w:tr>
        <w:tc>
          <w:tcPr>
            <w:tcW w:type="dxa" w:w="5040"/>
          </w:tcPr>
          <w:p>
            <w:r>
              <w:t>PLACES county data</w:t>
            </w:r>
          </w:p>
        </w:tc>
        <w:tc>
          <w:tcPr>
            <w:tcW w:type="dxa" w:w="5040"/>
          </w:tcPr>
          <w:p>
            <w:r>
              <w:t>Available</w:t>
            </w:r>
          </w:p>
        </w:tc>
      </w:tr>
      <w:tr>
        <w:tc>
          <w:tcPr>
            <w:tcW w:type="dxa" w:w="5040"/>
          </w:tcPr>
          <w:p>
            <w:r>
              <w:t>SRAM county aggregation</w:t>
            </w:r>
          </w:p>
        </w:tc>
        <w:tc>
          <w:tcPr>
            <w:tcW w:type="dxa" w:w="5040"/>
          </w:tcPr>
          <w:p>
            <w:r>
              <w:t>Available</w:t>
            </w:r>
          </w:p>
        </w:tc>
      </w:tr>
      <w:tr>
        <w:tc>
          <w:tcPr>
            <w:tcW w:type="dxa" w:w="5040"/>
          </w:tcPr>
          <w:p>
            <w:r>
              <w:t>County SDOH merge</w:t>
            </w:r>
          </w:p>
        </w:tc>
        <w:tc>
          <w:tcPr>
            <w:tcW w:type="dxa" w:w="5040"/>
          </w:tcPr>
          <w:p>
            <w:r>
              <w:t>Completed</w:t>
            </w:r>
          </w:p>
        </w:tc>
      </w:tr>
      <w:tr>
        <w:tc>
          <w:tcPr>
            <w:tcW w:type="dxa" w:w="5040"/>
          </w:tcPr>
          <w:p>
            <w:r>
              <w:t>Member SDOH enrichment</w:t>
            </w:r>
          </w:p>
        </w:tc>
        <w:tc>
          <w:tcPr>
            <w:tcW w:type="dxa" w:w="5040"/>
          </w:tcPr>
          <w:p>
            <w:r>
              <w:t>Completed for matched county members</w:t>
            </w:r>
          </w:p>
        </w:tc>
      </w:tr>
      <w:tr>
        <w:tc>
          <w:tcPr>
            <w:tcW w:type="dxa" w:w="5040"/>
          </w:tcPr>
          <w:p>
            <w:r>
              <w:t>Feature audit</w:t>
            </w:r>
          </w:p>
        </w:tc>
        <w:tc>
          <w:tcPr>
            <w:tcW w:type="dxa" w:w="5040"/>
          </w:tcPr>
          <w:p>
            <w:r>
              <w:t>Completed</w:t>
            </w:r>
          </w:p>
        </w:tc>
      </w:tr>
      <w:tr>
        <w:tc>
          <w:tcPr>
            <w:tcW w:type="dxa" w:w="5040"/>
          </w:tcPr>
          <w:p>
            <w:r>
              <w:t>Candidate SDOH feature selection</w:t>
            </w:r>
          </w:p>
        </w:tc>
        <w:tc>
          <w:tcPr>
            <w:tcW w:type="dxa" w:w="5040"/>
          </w:tcPr>
          <w:p>
            <w:r>
              <w:t>Completed</w:t>
            </w:r>
          </w:p>
        </w:tc>
      </w:tr>
      <w:tr>
        <w:tc>
          <w:tcPr>
            <w:tcW w:type="dxa" w:w="5040"/>
          </w:tcPr>
          <w:p>
            <w:r>
              <w:t>Clinical target outputs</w:t>
            </w:r>
          </w:p>
        </w:tc>
        <w:tc>
          <w:tcPr>
            <w:tcW w:type="dxa" w:w="5040"/>
          </w:tcPr>
          <w:p>
            <w:r>
              <w:t>Available</w:t>
            </w:r>
          </w:p>
        </w:tc>
      </w:tr>
      <w:tr>
        <w:tc>
          <w:tcPr>
            <w:tcW w:type="dxa" w:w="5040"/>
          </w:tcPr>
          <w:p>
            <w:r>
              <w:t>Target validation</w:t>
            </w:r>
          </w:p>
        </w:tc>
        <w:tc>
          <w:tcPr>
            <w:tcW w:type="dxa" w:w="5040"/>
          </w:tcPr>
          <w:p>
            <w:r>
              <w:t>Next required step</w:t>
            </w:r>
          </w:p>
        </w:tc>
      </w:tr>
      <w:tr>
        <w:tc>
          <w:tcPr>
            <w:tcW w:type="dxa" w:w="5040"/>
          </w:tcPr>
          <w:p>
            <w:r>
              <w:t>Modelling</w:t>
            </w:r>
          </w:p>
        </w:tc>
        <w:tc>
          <w:tcPr>
            <w:tcW w:type="dxa" w:w="5040"/>
          </w:tcPr>
          <w:p>
            <w:r>
              <w:t>Not yet started</w:t>
            </w:r>
          </w:p>
        </w:tc>
      </w:tr>
    </w:tbl>
    <w:p/>
    <w:p>
      <w:r>
        <w:rPr>
          <w:b/>
        </w:rPr>
        <w:t xml:space="preserve">Important: </w:t>
      </w:r>
      <w:r>
        <w:t>The current target files demonstrate that usable clinical labels exist, but the exact label-construction rules must be documented and checked for leakage before treating any target as the final modelling endpoint.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