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HealthLens SDOH Project</w:t>
        <w:br/>
        <w:t>Decisions, Reasons, Alternatives &amp; End-to-End Plan</w:t>
      </w:r>
    </w:p>
    <w:p>
      <w:pPr>
        <w:jc w:val="center"/>
      </w:pPr>
      <w:r>
        <w:rPr>
          <w:i/>
        </w:rPr>
        <w:t>A decision log and implementation roadmap covering what was chosen, why it was chosen, what alternatives were rejected, and what remains to be done.</w:t>
      </w:r>
    </w:p>
    <w:p>
      <w:pPr>
        <w:pStyle w:val="Heading1"/>
      </w:pPr>
      <w:r>
        <w:t>How to Read This Document</w:t>
      </w:r>
    </w:p>
    <w:p>
      <w:r>
        <w:t>This document records the decisions made during the project so far, not merely the data-processing steps. For each major decision it identifies: the problem, the chosen approach, why it was chosen, alternatives, why alternatives were not preferred, and the consequence for the next stage. Where the project evidence does not establish a fact, the document marks it as a validation item rather than inventing an answer.</w:t>
      </w:r>
    </w:p>
    <w:p>
      <w:pPr>
        <w:pStyle w:val="Heading1"/>
      </w:pPr>
      <w:r>
        <w:t>1. Project Objective</w:t>
      </w:r>
    </w:p>
    <w:p>
      <w:r>
        <w:t>Build a member-level SDOH risk-prioritization workflow that combines social determinants of health information with available clinical/utilization outcomes, while preserving geographic validity, avoiding artificial geography, preventing target leakage, and producing an interpretable model.</w:t>
      </w:r>
    </w:p>
    <w:p>
      <w:r>
        <w:t>Core design principle: use real source data wherever available; do not manufacture geography or labels merely to make the pipeline complete.</w:t>
      </w:r>
    </w:p>
    <w:p>
      <w:pPr>
        <w:pStyle w:val="Heading1"/>
      </w:pPr>
      <w:r>
        <w:t>2. Decision Log — Data and Geography</w:t>
      </w:r>
    </w:p>
    <w:p>
      <w:pPr>
        <w:pStyle w:val="Heading2"/>
      </w:pPr>
      <w:r>
        <w:t>Decision 1 — Use county level as the common SDOH geography</w:t>
      </w:r>
    </w:p>
    <w:p>
      <w:r>
        <w:rPr>
          <w:b/>
        </w:rPr>
        <w:t xml:space="preserve">Problem: </w:t>
      </w:r>
      <w:r>
        <w:t>The available sources did not initially support a legitimate member → tract → ACS → SRAM chain. Synthea supplied county FIPS for 87 of 108 members; PLACES is county-level; ACS was ultimately obtained at county level; SRAM was tract-level but could legitimately be aggregated to county.</w:t>
      </w:r>
    </w:p>
    <w:p>
      <w:r>
        <w:rPr>
          <w:b/>
        </w:rPr>
        <w:t xml:space="preserve">Chosen decision: </w:t>
      </w:r>
      <w:r>
        <w:t>County is the strongest common geography supported across the available real sources. It avoids inventing tract assignments and makes ACS, PLACES, SRAM, and Synthea joinable through county_fips.</w:t>
      </w:r>
    </w:p>
    <w:p>
      <w:r>
        <w:rPr>
          <w:b/>
        </w:rPr>
        <w:t xml:space="preserve">Alternatives: </w:t>
      </w:r>
      <w:r>
        <w:t>Tract-level member enrichment; ZIP-based joining; coordinate-to-tract assignment; county-name joining; artificial/random geography.</w:t>
      </w:r>
    </w:p>
    <w:p>
      <w:r>
        <w:rPr>
          <w:b/>
        </w:rPr>
        <w:t xml:space="preserve">Why the alternatives were not preferred: </w:t>
      </w:r>
      <w:r>
        <w:t>The tract alternatives were rejected because no legitimate member-to-tract crosswalk or tract-level ACS source was available. ZIP/name/coordinate joins were rejected because they could create unsupported geographic assignments.</w:t>
      </w:r>
    </w:p>
    <w:p>
      <w:r>
        <w:rPr>
          <w:b/>
        </w:rPr>
        <w:t xml:space="preserve">Result: </w:t>
      </w:r>
      <w:r>
        <w:t>Member SDOH enrichment is valid only for members with a real county_fips match.</w:t>
      </w:r>
    </w:p>
    <w:p>
      <w:pPr>
        <w:pStyle w:val="Heading2"/>
      </w:pPr>
      <w:r>
        <w:t>Decision 2 — Do not force a tract-level ACS ↔ SRAM merge</w:t>
      </w:r>
    </w:p>
    <w:p>
      <w:r>
        <w:rPr>
          <w:b/>
        </w:rPr>
        <w:t xml:space="preserve">Problem: </w:t>
      </w:r>
      <w:r>
        <w:t>The initial ACS files were national/state-level while SRAM was tract-level.</w:t>
      </w:r>
    </w:p>
    <w:p>
      <w:r>
        <w:rPr>
          <w:b/>
        </w:rPr>
        <w:t xml:space="preserve">Chosen decision: </w:t>
      </w:r>
      <w:r>
        <w:t>The project explicitly blocks unsupported geography instead of silently producing a false tract join.</w:t>
      </w:r>
    </w:p>
    <w:p>
      <w:r>
        <w:rPr>
          <w:b/>
        </w:rPr>
        <w:t xml:space="preserve">Alternatives: </w:t>
      </w:r>
      <w:r>
        <w:t>Download tract ACS; infer tract from ZIP; infer tract from coordinates; assign a random tract.</w:t>
      </w:r>
    </w:p>
    <w:p>
      <w:r>
        <w:rPr>
          <w:b/>
        </w:rPr>
        <w:t xml:space="preserve">Why the alternatives were not preferred: </w:t>
      </w:r>
      <w:r>
        <w:t>Those approaches would require an external crosswalk/boundary source or an unsupported assumption. The project chose data integrity over completeness.</w:t>
      </w:r>
    </w:p>
    <w:p>
      <w:r>
        <w:rPr>
          <w:b/>
        </w:rPr>
        <w:t xml:space="preserve">Result: </w:t>
      </w:r>
      <w:r>
        <w:t>The project moved to a county-compatible architecture.</w:t>
      </w:r>
    </w:p>
    <w:p>
      <w:pPr>
        <w:pStyle w:val="Heading2"/>
      </w:pPr>
      <w:r>
        <w:t>Decision 3 — Acquire the correct ACS 2024 5-year county extracts</w:t>
      </w:r>
    </w:p>
    <w:p>
      <w:r>
        <w:rPr>
          <w:b/>
        </w:rPr>
        <w:t xml:space="preserve">Problem: </w:t>
      </w:r>
      <w:r>
        <w:t>The earlier ACS 1-year files contained national GEO_ID 0100000US and were unusable for county joining.</w:t>
      </w:r>
    </w:p>
    <w:p>
      <w:r>
        <w:rPr>
          <w:b/>
        </w:rPr>
        <w:t xml:space="preserve">Chosen decision: </w:t>
      </w:r>
      <w:r>
        <w:t>The verified 5-year extracts contain 3,222 unique county records with GEO_ID values beginning 0500000US and matching five-digit county FIPS.</w:t>
      </w:r>
    </w:p>
    <w:p>
      <w:r>
        <w:rPr>
          <w:b/>
        </w:rPr>
        <w:t xml:space="preserve">Alternatives: </w:t>
      </w:r>
      <w:r>
        <w:t>Continue with national ACS; use state-level Decennial data; synthesize missing county ACS.</w:t>
      </w:r>
    </w:p>
    <w:p>
      <w:r>
        <w:rPr>
          <w:b/>
        </w:rPr>
        <w:t xml:space="preserve">Why the alternatives were not preferred: </w:t>
      </w:r>
      <w:r>
        <w:t>National/state aggregates cannot support county-level member enrichment. Synthetic ACS would no longer be source-derived SDOH data.</w:t>
      </w:r>
    </w:p>
    <w:p>
      <w:r>
        <w:rPr>
          <w:b/>
        </w:rPr>
        <w:t xml:space="preserve">Result: </w:t>
      </w:r>
      <w:r>
        <w:t>The eight verified ACS tables became the county-level socioeconomic/demographic source.</w:t>
      </w:r>
    </w:p>
    <w:p>
      <w:pPr>
        <w:pStyle w:val="Heading2"/>
      </w:pPr>
      <w:r>
        <w:t>Decision 4 — Preserve raw ACS ZIPs and preprocess them through a controlled ZIP-aware path</w:t>
      </w:r>
    </w:p>
    <w:p>
      <w:r>
        <w:rPr>
          <w:b/>
        </w:rPr>
        <w:t xml:space="preserve">Problem: </w:t>
      </w:r>
      <w:r>
        <w:t>The verified branch data arrived as eight ZIP archives containing Data, Column-Metadata, and Table-Notes files.</w:t>
      </w:r>
    </w:p>
    <w:p>
      <w:r>
        <w:rPr>
          <w:b/>
        </w:rPr>
        <w:t xml:space="preserve">Chosen decision: </w:t>
      </w:r>
      <w:r>
        <w:t>Raw source archives remain unchanged and the pipeline reads the exact embedded Data/Metadata files.</w:t>
      </w:r>
    </w:p>
    <w:p>
      <w:r>
        <w:rPr>
          <w:b/>
        </w:rPr>
        <w:t xml:space="preserve">Alternatives: </w:t>
      </w:r>
      <w:r>
        <w:t>Extract and permanently modify raw files; manually copy selected columns; use unrelated duplicate ZIPs.</w:t>
      </w:r>
    </w:p>
    <w:p>
      <w:r>
        <w:rPr>
          <w:b/>
        </w:rPr>
        <w:t xml:space="preserve">Why the alternatives were not preferred: </w:t>
      </w:r>
      <w:r>
        <w:t>Preserving source artifacts improves reproducibility and makes provenance auditable. Manual copying risks silent feature-definition errors.</w:t>
      </w:r>
    </w:p>
    <w:p>
      <w:r>
        <w:rPr>
          <w:b/>
        </w:rPr>
        <w:t xml:space="preserve">Result: </w:t>
      </w:r>
      <w:r>
        <w:t>ACS preprocessing is reproducible and traceable to the verified source archives.</w:t>
      </w:r>
    </w:p>
    <w:p>
      <w:pPr>
        <w:pStyle w:val="Heading2"/>
      </w:pPr>
      <w:r>
        <w:t>Decision 5 — Use county_fips as the only county merge key</w:t>
      </w:r>
    </w:p>
    <w:p>
      <w:r>
        <w:rPr>
          <w:b/>
        </w:rPr>
        <w:t xml:space="preserve">Problem: </w:t>
      </w:r>
      <w:r>
        <w:t>Multiple datasets also contain names, ZIPs, states, coordinates, or other geography fields.</w:t>
      </w:r>
    </w:p>
    <w:p>
      <w:r>
        <w:rPr>
          <w:b/>
        </w:rPr>
        <w:t xml:space="preserve">Chosen decision: </w:t>
      </w:r>
      <w:r>
        <w:t>All county merges use normalized five-digit county_fips only.</w:t>
      </w:r>
    </w:p>
    <w:p>
      <w:r>
        <w:rPr>
          <w:b/>
        </w:rPr>
        <w:t xml:space="preserve">Alternatives: </w:t>
      </w:r>
      <w:r>
        <w:t>County names; ZIP; latitude/longitude; row order; fuzzy matching; mixed geography keys.</w:t>
      </w:r>
    </w:p>
    <w:p>
      <w:r>
        <w:rPr>
          <w:b/>
        </w:rPr>
        <w:t xml:space="preserve">Why the alternatives were not preferred: </w:t>
      </w:r>
      <w:r>
        <w:t>Names and ZIPs are not stable geographic identifiers and can introduce ambiguity. Row-order joins are unsafe.</w:t>
      </w:r>
    </w:p>
    <w:p>
      <w:r>
        <w:rPr>
          <w:b/>
        </w:rPr>
        <w:t xml:space="preserve">Result: </w:t>
      </w:r>
      <w:r>
        <w:t>The county merge is deterministic and auditable.</w:t>
      </w:r>
    </w:p>
    <w:p>
      <w:pPr>
        <w:pStyle w:val="Heading2"/>
      </w:pPr>
      <w:r>
        <w:t>Decision 6 — Aggregate SRAM from tract to county</w:t>
      </w:r>
    </w:p>
    <w:p>
      <w:r>
        <w:rPr>
          <w:b/>
        </w:rPr>
        <w:t xml:space="preserve">Problem: </w:t>
      </w:r>
      <w:r>
        <w:t>SRAM is legitimately tract-level while the project architecture is county-level.</w:t>
      </w:r>
    </w:p>
    <w:p>
      <w:r>
        <w:rPr>
          <w:b/>
        </w:rPr>
        <w:t xml:space="preserve">Chosen decision: </w:t>
      </w:r>
      <w:r>
        <w:t>SRAM tract measures are aggregated to county, with tract_count retained and ambiguous percentages omitted.</w:t>
      </w:r>
    </w:p>
    <w:p>
      <w:r>
        <w:rPr>
          <w:b/>
        </w:rPr>
        <w:t xml:space="preserve">Alternatives: </w:t>
      </w:r>
      <w:r>
        <w:t>Drop SRAM; keep tract-level SRAM and try to join it directly; average all tract percentages indiscriminately.</w:t>
      </w:r>
    </w:p>
    <w:p>
      <w:r>
        <w:rPr>
          <w:b/>
        </w:rPr>
        <w:t xml:space="preserve">Why the alternatives were not preferred: </w:t>
      </w:r>
      <w:r>
        <w:t>Dropping SRAM loses useful access/transportation information. Direct tract joining is unsupported. Blindly averaging percentages can distort meaning.</w:t>
      </w:r>
    </w:p>
    <w:p>
      <w:r>
        <w:rPr>
          <w:b/>
        </w:rPr>
        <w:t xml:space="preserve">Result: </w:t>
      </w:r>
      <w:r>
        <w:t>SRAM becomes a county contextual feature source rather than a fabricated member-tract source.</w:t>
      </w:r>
    </w:p>
    <w:p>
      <w:pPr>
        <w:pStyle w:val="Heading1"/>
      </w:pPr>
      <w:r>
        <w:t>3. Decision Log — Feature Construction</w:t>
      </w:r>
    </w:p>
    <w:p>
      <w:pPr>
        <w:pStyle w:val="Heading2"/>
      </w:pPr>
      <w:r>
        <w:t>Decision 7 — Retain verified ACS components only</w:t>
      </w:r>
    </w:p>
    <w:p>
      <w:r>
        <w:rPr>
          <w:b/>
        </w:rPr>
        <w:t xml:space="preserve">Problem: </w:t>
      </w:r>
      <w:r>
        <w:t>The repository-defined component list contained 23 variables, while the later usable downstream set excluded female_pct.</w:t>
      </w:r>
    </w:p>
    <w:p>
      <w:r>
        <w:rPr>
          <w:b/>
        </w:rPr>
        <w:t xml:space="preserve">Chosen decision: </w:t>
      </w:r>
      <w:r>
        <w:t>Use only variables that exist in the verified source and have valid numeric county values.</w:t>
      </w:r>
    </w:p>
    <w:p>
      <w:r>
        <w:rPr>
          <w:b/>
        </w:rPr>
        <w:t xml:space="preserve">Alternatives: </w:t>
      </w:r>
      <w:r>
        <w:t>Invent missing values; use an unsupported proxy; force female_pct into the model.</w:t>
      </w:r>
    </w:p>
    <w:p>
      <w:r>
        <w:rPr>
          <w:b/>
        </w:rPr>
        <w:t xml:space="preserve">Why the alternatives were not preferred: </w:t>
      </w:r>
      <w:r>
        <w:t>S0101_C06_001E existed but all county records were Census marker (X), so the cleaner correctly represented it as missing. No numeric values were available to justify imputation.</w:t>
      </w:r>
    </w:p>
    <w:p>
      <w:r>
        <w:rPr>
          <w:b/>
        </w:rPr>
        <w:t xml:space="preserve">Result: </w:t>
      </w:r>
      <w:r>
        <w:t>female_pct was excluded downstream without modifying the upstream ACS source.</w:t>
      </w:r>
    </w:p>
    <w:p>
      <w:pPr>
        <w:pStyle w:val="Heading2"/>
      </w:pPr>
      <w:r>
        <w:t>Decision 8 — Do not impute source geography or source values during integration</w:t>
      </w:r>
    </w:p>
    <w:p>
      <w:r>
        <w:rPr>
          <w:b/>
        </w:rPr>
        <w:t xml:space="preserve">Problem: </w:t>
      </w:r>
      <w:r>
        <w:t>Many members have no county match and several source fields have missing coverage.</w:t>
      </w:r>
    </w:p>
    <w:p>
      <w:r>
        <w:rPr>
          <w:b/>
        </w:rPr>
        <w:t xml:space="preserve">Chosen decision: </w:t>
      </w:r>
      <w:r>
        <w:t>Keep missingness visible and report it.</w:t>
      </w:r>
    </w:p>
    <w:p>
      <w:r>
        <w:rPr>
          <w:b/>
        </w:rPr>
        <w:t xml:space="preserve">Alternatives: </w:t>
      </w:r>
      <w:r>
        <w:t>Mean/median imputation at merge time; synthetic values; nearest-county substitution.</w:t>
      </w:r>
    </w:p>
    <w:p>
      <w:r>
        <w:rPr>
          <w:b/>
        </w:rPr>
        <w:t xml:space="preserve">Why the alternatives were not preferred: </w:t>
      </w:r>
      <w:r>
        <w:t>Those methods can hide source coverage limitations and create false precision. Imputation, if later justified, belongs inside model training and must be fit on training data only.</w:t>
      </w:r>
    </w:p>
    <w:p>
      <w:r>
        <w:rPr>
          <w:b/>
        </w:rPr>
        <w:t xml:space="preserve">Result: </w:t>
      </w:r>
      <w:r>
        <w:t>The integrated dataset preserves provenance and missingness.</w:t>
      </w:r>
    </w:p>
    <w:p>
      <w:pPr>
        <w:pStyle w:val="Heading2"/>
      </w:pPr>
      <w:r>
        <w:t>Decision 9 — Remove highly redundant predictors deliberately, not automatically</w:t>
      </w:r>
    </w:p>
    <w:p>
      <w:r>
        <w:rPr>
          <w:b/>
        </w:rPr>
        <w:t xml:space="preserve">Problem: </w:t>
      </w:r>
      <w:r>
        <w:t>The feature audit found three |r| ≥ 0.99 pairs.</w:t>
      </w:r>
    </w:p>
    <w:p>
      <w:r>
        <w:rPr>
          <w:b/>
        </w:rPr>
        <w:t xml:space="preserve">Chosen decision: </w:t>
      </w:r>
      <w:r>
        <w:t>Review redundancy conceptually before dropping variables.</w:t>
      </w:r>
    </w:p>
    <w:p>
      <w:r>
        <w:rPr>
          <w:b/>
        </w:rPr>
        <w:t xml:space="preserve">Alternatives: </w:t>
      </w:r>
      <w:r>
        <w:t>Automatically drop one variable from every highly correlated pair; use PCA immediately; retain all features blindly.</w:t>
      </w:r>
    </w:p>
    <w:p>
      <w:r>
        <w:rPr>
          <w:b/>
        </w:rPr>
        <w:t xml:space="preserve">Why the alternatives were not preferred: </w:t>
      </w:r>
      <w:r>
        <w:t>Automatic dropping can remove the more meaningful measure; PCA harms direct interpretability; retaining all can destabilize a small model.</w:t>
      </w:r>
    </w:p>
    <w:p>
      <w:r>
        <w:rPr>
          <w:b/>
        </w:rPr>
        <w:t xml:space="preserve">Result: </w:t>
      </w:r>
      <w:r>
        <w:t>A documented feature-reduction decision is required before final modelling.</w:t>
      </w:r>
    </w:p>
    <w:p>
      <w:pPr>
        <w:pStyle w:val="Heading1"/>
      </w:pPr>
      <w:r>
        <w:t>4. Decision Log — Member Enrichment</w:t>
      </w:r>
    </w:p>
    <w:p>
      <w:pPr>
        <w:pStyle w:val="Heading2"/>
      </w:pPr>
      <w:r>
        <w:t>Decision 10 — Enrich members only when county_fips is available</w:t>
      </w:r>
    </w:p>
    <w:p>
      <w:r>
        <w:t>The member table contains 108 members; 87 have non-missing county FIPS and 21 do not. The enrichment process therefore produced 87 matched members and 21 unmatched members.</w:t>
      </w:r>
    </w:p>
    <w:p>
      <w:r>
        <w:t>Chosen: retain all members, attach county SDOH data only to legitimate county matches, and do not assign a county to unmatched members.</w:t>
      </w:r>
    </w:p>
    <w:p>
      <w:r>
        <w:t>Alternatives: infer county from ZIP/name/coordinates; drop unmatched members immediately; synthesize county SDOH values.</w:t>
      </w:r>
    </w:p>
    <w:p>
      <w:r>
        <w:t>Reason: the project prioritizes geographic validity. Dropping members prematurely also reduces the already-small sample, so the unmatched group should remain visible until the modelling missing-data policy is decided.</w:t>
      </w:r>
    </w:p>
    <w:p>
      <w:pPr>
        <w:pStyle w:val="Heading1"/>
      </w:pPr>
      <w:r>
        <w:t>5. Decision Log — Target Construction</w:t>
      </w:r>
    </w:p>
    <w:p>
      <w:pPr>
        <w:pStyle w:val="Heading2"/>
      </w:pPr>
      <w:r>
        <w:t>Decision 11 — Use clinical/utilization data for the target</w:t>
      </w:r>
    </w:p>
    <w:p>
      <w:r>
        <w:t>The project has clinical/utilization-derived member-level outputs from Synthea. The target file contains encounter_count, emergency_or_inpatient_use, condition_occurrence_count, chronic_condition_burden, procedure_occurrence_count, procedure_burden, high_utilization, and complex_care_need.</w:t>
      </w:r>
    </w:p>
    <w:p>
      <w:r>
        <w:t>Chosen: derive the modelling target from real clinical/utilization data rather than synthetic labels.</w:t>
      </w:r>
    </w:p>
    <w:p>
      <w:r>
        <w:t>Reason: a supervised model needs a defensible outcome. Synthea supplies actual generated clinical event histories from which reproducible member-level outcomes can be constructed. Synthetic labels would make the model learn an assumption rather than a clinically grounded outcome.</w:t>
      </w:r>
    </w:p>
    <w:p>
      <w:r>
        <w:t>Alternatives: expert-rule-only labels, unsupervised clustering, knowledge-graph-derived labels, composite SDOH index as a target.</w:t>
      </w:r>
    </w:p>
    <w:p>
      <w:r>
        <w:t>Why not primary choice: expert rules require a documented clinical policy; clustering does not produce a validated clinical outcome; a knowledge graph can support semantic validation but does not itself establish ground truth; using an SDOH score as the target would risk circularity because the predictors are themselves SDOH features.</w:t>
      </w:r>
    </w:p>
    <w:p>
      <w:pPr>
        <w:pStyle w:val="Heading2"/>
      </w:pPr>
      <w:r>
        <w:t>Decision 12 — Candidate primary target: high_utilization</w:t>
      </w:r>
    </w:p>
    <w:p>
      <w:r>
        <w:t>The current target-quality output reports high_utilization at 25.00% positive and emergency_or_inpatient_use at 70.37% positive. complex_care_need is also available at approximately 21.30% positive.</w:t>
      </w:r>
    </w:p>
    <w:p>
      <w:r>
        <w:t>Chosen working candidate: high_utilization, subject to verifying the exact target-generation rule before modelling.</w:t>
      </w:r>
    </w:p>
    <w:p>
      <w:r>
        <w:t>Reason: the 25% positive rate creates a clearer prioritization problem than the much more common emergency/inpatient outcome, while retaining a meaningful minority class.</w:t>
      </w:r>
    </w:p>
    <w:p>
      <w:r>
        <w:t>Alternatives: complex_care_need as the primary endpoint; emergency_or_inpatient_use as the primary endpoint; a composite target.</w:t>
      </w:r>
    </w:p>
    <w:p>
      <w:r>
        <w:t>These remain valid alternatives and can become secondary experiments. The final choice must follow target-definition review, clinical meaning, prediction horizon, and leakage checks—not class balance alone.</w:t>
      </w:r>
    </w:p>
    <w:p>
      <w:pPr>
        <w:pStyle w:val="Heading1"/>
      </w:pPr>
      <w:r>
        <w:t>6. Target Leakage Decision</w:t>
      </w:r>
    </w:p>
    <w:p>
      <w:pPr>
        <w:pStyle w:val="Heading2"/>
      </w:pPr>
      <w:r>
        <w:t>Decision 13 — Validate target construction before training</w:t>
      </w:r>
    </w:p>
    <w:p>
      <w:r>
        <w:t>This is mandatory. The exact rules used to construct high_utilization, complex_care_need, and emergency_or_inpatient_use must be documented before the target is considered final.</w:t>
      </w:r>
    </w:p>
    <w:p>
      <w:r>
        <w:t>Why: if encounter counts, condition counts, procedures, or post-outcome events are both used to define the target and supplied as predictors, the model can appear highly accurate without actually predicting future risk.</w:t>
      </w:r>
    </w:p>
    <w:p>
      <w:r>
        <w:t>Alternative: train immediately because the labels already exist. Rejected because label existence does not prove that the prediction design is leakage-free.</w:t>
      </w:r>
    </w:p>
    <w:p>
      <w:pPr>
        <w:pStyle w:val="Heading1"/>
      </w:pPr>
      <w:r>
        <w:t>7. Decision Log — Modelling Strategy</w:t>
      </w:r>
    </w:p>
    <w:p>
      <w:pPr>
        <w:pStyle w:val="Heading2"/>
      </w:pPr>
      <w:r>
        <w:t>Decision 14 — Start with interpretable supervised classification</w:t>
      </w:r>
    </w:p>
    <w:p>
      <w:r>
        <w:rPr>
          <w:b/>
        </w:rPr>
        <w:t xml:space="preserve">Problem: </w:t>
      </w:r>
      <w:r>
        <w:t>The project has binary clinical outcomes and a small sample of 108 members.</w:t>
      </w:r>
    </w:p>
    <w:p>
      <w:r>
        <w:rPr>
          <w:b/>
        </w:rPr>
        <w:t xml:space="preserve">Chosen decision: </w:t>
      </w:r>
      <w:r>
        <w:t>Begin with logistic regression as the baseline and compare against one modest tree-based model.</w:t>
      </w:r>
    </w:p>
    <w:p>
      <w:r>
        <w:rPr>
          <w:b/>
        </w:rPr>
        <w:t xml:space="preserve">Alternatives: </w:t>
      </w:r>
      <w:r>
        <w:t>Deep neural networks; large ensembles; unsupervised clustering as the primary model.</w:t>
      </w:r>
    </w:p>
    <w:p>
      <w:r>
        <w:rPr>
          <w:b/>
        </w:rPr>
        <w:t xml:space="preserve">Why the alternatives were not preferred: </w:t>
      </w:r>
      <w:r>
        <w:t>The sample is too small to justify complex high-capacity models, and the project needs interpretable SDOH drivers.</w:t>
      </w:r>
    </w:p>
    <w:p>
      <w:r>
        <w:rPr>
          <w:b/>
        </w:rPr>
        <w:t xml:space="preserve">Result: </w:t>
      </w:r>
      <w:r>
        <w:t>A simple baseline provides a defensible reference before complexity is added.</w:t>
      </w:r>
    </w:p>
    <w:p>
      <w:pPr>
        <w:pStyle w:val="Heading2"/>
      </w:pPr>
      <w:r>
        <w:t>Decision 15 — Treat class imbalance explicitly</w:t>
      </w:r>
    </w:p>
    <w:p>
      <w:r>
        <w:rPr>
          <w:b/>
        </w:rPr>
        <w:t xml:space="preserve">Problem: </w:t>
      </w:r>
      <w:r>
        <w:t>The candidate high_utilization target has roughly 25% positive cases.</w:t>
      </w:r>
    </w:p>
    <w:p>
      <w:r>
        <w:rPr>
          <w:b/>
        </w:rPr>
        <w:t xml:space="preserve">Chosen decision: </w:t>
      </w:r>
      <w:r>
        <w:t>Use class weighting or another justified imbalance strategy and evaluate with PR-AUC, recall, precision, and F1.</w:t>
      </w:r>
    </w:p>
    <w:p>
      <w:r>
        <w:rPr>
          <w:b/>
        </w:rPr>
        <w:t xml:space="preserve">Alternatives: </w:t>
      </w:r>
      <w:r>
        <w:t>Optimize accuracy only; blindly oversample; use ROC-AUC alone.</w:t>
      </w:r>
    </w:p>
    <w:p>
      <w:r>
        <w:rPr>
          <w:b/>
        </w:rPr>
        <w:t xml:space="preserve">Why the alternatives were not preferred: </w:t>
      </w:r>
      <w:r>
        <w:t>Accuracy can be misleading for minority outcomes. Blind oversampling can overfit a small dataset. ROC-AUC does not directly show minority-class precision/recall trade-offs.</w:t>
      </w:r>
    </w:p>
    <w:p>
      <w:r>
        <w:rPr>
          <w:b/>
        </w:rPr>
        <w:t xml:space="preserve">Result: </w:t>
      </w:r>
      <w:r>
        <w:t>Model evaluation focuses on the actual prioritization objective.</w:t>
      </w:r>
    </w:p>
    <w:p>
      <w:pPr>
        <w:pStyle w:val="Heading2"/>
      </w:pPr>
      <w:r>
        <w:t>Decision 16 — Keep preprocessing inside the modelling pipeline</w:t>
      </w:r>
    </w:p>
    <w:p>
      <w:r>
        <w:rPr>
          <w:b/>
        </w:rPr>
        <w:t xml:space="preserve">Problem: </w:t>
      </w:r>
      <w:r>
        <w:t>Missing values, scaling, and any feature selection can leak information if computed before splitting.</w:t>
      </w:r>
    </w:p>
    <w:p>
      <w:r>
        <w:rPr>
          <w:b/>
        </w:rPr>
        <w:t xml:space="preserve">Chosen decision: </w:t>
      </w:r>
      <w:r>
        <w:t>Fit transformations only on training data and apply them to validation/test data.</w:t>
      </w:r>
    </w:p>
    <w:p>
      <w:r>
        <w:rPr>
          <w:b/>
        </w:rPr>
        <w:t xml:space="preserve">Alternatives: </w:t>
      </w:r>
      <w:r>
        <w:t>Preprocess the entire dataset first; manually impute before splitting.</w:t>
      </w:r>
    </w:p>
    <w:p>
      <w:r>
        <w:rPr>
          <w:b/>
        </w:rPr>
        <w:t xml:space="preserve">Why the alternatives were not preferred: </w:t>
      </w:r>
      <w:r>
        <w:t>Pre-split preprocessing lets test information influence the model.</w:t>
      </w:r>
    </w:p>
    <w:p>
      <w:r>
        <w:rPr>
          <w:b/>
        </w:rPr>
        <w:t xml:space="preserve">Result: </w:t>
      </w:r>
      <w:r>
        <w:t>Evaluation remains more trustworthy.</w:t>
      </w:r>
    </w:p>
    <w:p>
      <w:pPr>
        <w:pStyle w:val="Heading2"/>
      </w:pPr>
      <w:r>
        <w:t>Decision 17 — Use member-level train/test separation</w:t>
      </w:r>
    </w:p>
    <w:p>
      <w:r>
        <w:rPr>
          <w:b/>
        </w:rPr>
        <w:t xml:space="preserve">Problem: </w:t>
      </w:r>
      <w:r>
        <w:t>The unit of prediction is the member.</w:t>
      </w:r>
    </w:p>
    <w:p>
      <w:r>
        <w:rPr>
          <w:b/>
        </w:rPr>
        <w:t xml:space="preserve">Chosen decision: </w:t>
      </w:r>
      <w:r>
        <w:t>Split by member_id and avoid duplicates across train and test.</w:t>
      </w:r>
    </w:p>
    <w:p>
      <w:r>
        <w:rPr>
          <w:b/>
        </w:rPr>
        <w:t xml:space="preserve">Alternatives: </w:t>
      </w:r>
      <w:r>
        <w:t>Randomly split rows without checking duplicates; split by county only.</w:t>
      </w:r>
    </w:p>
    <w:p>
      <w:r>
        <w:rPr>
          <w:b/>
        </w:rPr>
        <w:t xml:space="preserve">Why the alternatives were not preferred: </w:t>
      </w:r>
      <w:r>
        <w:t>Row-level duplication can leak member information. County-only splitting may be unnecessarily restrictive for this small member dataset.</w:t>
      </w:r>
    </w:p>
    <w:p>
      <w:r>
        <w:rPr>
          <w:b/>
        </w:rPr>
        <w:t xml:space="preserve">Result: </w:t>
      </w:r>
      <w:r>
        <w:t>The evaluation unit matches the prediction unit.</w:t>
      </w:r>
    </w:p>
    <w:p>
      <w:pPr>
        <w:pStyle w:val="Heading1"/>
      </w:pPr>
      <w:r>
        <w:t>8. Knowledge Graph — What It Can and Cannot Do</w:t>
      </w:r>
    </w:p>
    <w:p>
      <w:r>
        <w:t>A knowledge graph can provide semantic support: mapping concepts such as unemployment, housing instability, transportation access, chronic conditions, utilization, and care needs; checking whether a proposed target is conceptually connected to the SDOH concepts; and supporting explainability.</w:t>
      </w:r>
    </w:p>
    <w:p>
      <w:r>
        <w:t>It should not be used as the sole source of target truth. The target must remain grounded in the clinical/utilization records and an explicit target definition.</w:t>
      </w:r>
    </w:p>
    <w:p>
      <w:r>
        <w:t>Alternative: use the knowledge graph to generate the label. Not preferred because graph relationships are semantic evidence, not automatically a validated outcome definition.</w:t>
      </w:r>
    </w:p>
    <w:p>
      <w:pPr>
        <w:pStyle w:val="Heading1"/>
      </w:pPr>
      <w:r>
        <w:t>9. Decision Matrix for the Target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Target</w:t>
            </w:r>
          </w:p>
        </w:tc>
        <w:tc>
          <w:tcPr>
            <w:tcW w:type="dxa" w:w="2045"/>
          </w:tcPr>
          <w:p>
            <w:r>
              <w:t>Current prevalence</w:t>
            </w:r>
          </w:p>
        </w:tc>
        <w:tc>
          <w:tcPr>
            <w:tcW w:type="dxa" w:w="2045"/>
          </w:tcPr>
          <w:p>
            <w:r>
              <w:t>Strength</w:t>
            </w:r>
          </w:p>
        </w:tc>
        <w:tc>
          <w:tcPr>
            <w:tcW w:type="dxa" w:w="2045"/>
          </w:tcPr>
          <w:p>
            <w:r>
              <w:t>Main concern</w:t>
            </w:r>
          </w:p>
        </w:tc>
        <w:tc>
          <w:tcPr>
            <w:tcW w:type="dxa" w:w="2045"/>
          </w:tcPr>
          <w:p>
            <w:r>
              <w:t>Role</w:t>
            </w:r>
          </w:p>
        </w:tc>
      </w:tr>
      <w:tr>
        <w:tc>
          <w:tcPr>
            <w:tcW w:type="dxa" w:w="2045"/>
          </w:tcPr>
          <w:p>
            <w:r>
              <w:t>high_utilization</w:t>
            </w:r>
          </w:p>
        </w:tc>
        <w:tc>
          <w:tcPr>
            <w:tcW w:type="dxa" w:w="2045"/>
          </w:tcPr>
          <w:p>
            <w:r>
              <w:t>25.00%</w:t>
            </w:r>
          </w:p>
        </w:tc>
        <w:tc>
          <w:tcPr>
            <w:tcW w:type="dxa" w:w="2045"/>
          </w:tcPr>
          <w:p>
            <w:r>
              <w:t>Directly supports prioritization</w:t>
            </w:r>
          </w:p>
        </w:tc>
        <w:tc>
          <w:tcPr>
            <w:tcW w:type="dxa" w:w="2045"/>
          </w:tcPr>
          <w:p>
            <w:r>
              <w:t>Exact rule must be validated; possible leakage if predictors reuse construction events</w:t>
            </w:r>
          </w:p>
        </w:tc>
        <w:tc>
          <w:tcPr>
            <w:tcW w:type="dxa" w:w="2045"/>
          </w:tcPr>
          <w:p>
            <w:r>
              <w:t>Primary candidate</w:t>
            </w:r>
          </w:p>
        </w:tc>
      </w:tr>
      <w:tr>
        <w:tc>
          <w:tcPr>
            <w:tcW w:type="dxa" w:w="2045"/>
          </w:tcPr>
          <w:p>
            <w:r>
              <w:t>complex_care_need</w:t>
            </w:r>
          </w:p>
        </w:tc>
        <w:tc>
          <w:tcPr>
            <w:tcW w:type="dxa" w:w="2045"/>
          </w:tcPr>
          <w:p>
            <w:r>
              <w:t>~21.30%</w:t>
            </w:r>
          </w:p>
        </w:tc>
        <w:tc>
          <w:tcPr>
            <w:tcW w:type="dxa" w:w="2045"/>
          </w:tcPr>
          <w:p>
            <w:r>
              <w:t>Useful alternative care-complexity outcome</w:t>
            </w:r>
          </w:p>
        </w:tc>
        <w:tc>
          <w:tcPr>
            <w:tcW w:type="dxa" w:w="2045"/>
          </w:tcPr>
          <w:p>
            <w:r>
              <w:t>Exact rule and clinical interpretation must be validated</w:t>
            </w:r>
          </w:p>
        </w:tc>
        <w:tc>
          <w:tcPr>
            <w:tcW w:type="dxa" w:w="2045"/>
          </w:tcPr>
          <w:p>
            <w:r>
              <w:t>Secondary candidate</w:t>
            </w:r>
          </w:p>
        </w:tc>
      </w:tr>
      <w:tr>
        <w:tc>
          <w:tcPr>
            <w:tcW w:type="dxa" w:w="2045"/>
          </w:tcPr>
          <w:p>
            <w:r>
              <w:t>emergency_or_inpatient_use</w:t>
            </w:r>
          </w:p>
        </w:tc>
        <w:tc>
          <w:tcPr>
            <w:tcW w:type="dxa" w:w="2045"/>
          </w:tcPr>
          <w:p>
            <w:r>
              <w:t>70.37%</w:t>
            </w:r>
          </w:p>
        </w:tc>
        <w:tc>
          <w:tcPr>
            <w:tcW w:type="dxa" w:w="2045"/>
          </w:tcPr>
          <w:p>
            <w:r>
              <w:t>Clear utilization outcome</w:t>
            </w:r>
          </w:p>
        </w:tc>
        <w:tc>
          <w:tcPr>
            <w:tcW w:type="dxa" w:w="2045"/>
          </w:tcPr>
          <w:p>
            <w:r>
              <w:t>Common outcome may provide weaker prioritization separation</w:t>
            </w:r>
          </w:p>
        </w:tc>
        <w:tc>
          <w:tcPr>
            <w:tcW w:type="dxa" w:w="2045"/>
          </w:tcPr>
          <w:p>
            <w:r>
              <w:t>Secondary/alternative</w:t>
            </w:r>
          </w:p>
        </w:tc>
      </w:tr>
      <w:tr>
        <w:tc>
          <w:tcPr>
            <w:tcW w:type="dxa" w:w="2045"/>
          </w:tcPr>
          <w:p>
            <w:r>
              <w:t>Composite target</w:t>
            </w:r>
          </w:p>
        </w:tc>
        <w:tc>
          <w:tcPr>
            <w:tcW w:type="dxa" w:w="2045"/>
          </w:tcPr>
          <w:p>
            <w:r>
              <w:t>Not established</w:t>
            </w:r>
          </w:p>
        </w:tc>
        <w:tc>
          <w:tcPr>
            <w:tcW w:type="dxa" w:w="2045"/>
          </w:tcPr>
          <w:p>
            <w:r>
              <w:t>Could represent broader risk</w:t>
            </w:r>
          </w:p>
        </w:tc>
        <w:tc>
          <w:tcPr>
            <w:tcW w:type="dxa" w:w="2045"/>
          </w:tcPr>
          <w:p>
            <w:r>
              <w:t>Harder to interpret; risk of circular definitions</w:t>
            </w:r>
          </w:p>
        </w:tc>
        <w:tc>
          <w:tcPr>
            <w:tcW w:type="dxa" w:w="2045"/>
          </w:tcPr>
          <w:p>
            <w:r>
              <w:t>Only if justified</w:t>
            </w:r>
          </w:p>
        </w:tc>
      </w:tr>
      <w:tr>
        <w:tc>
          <w:tcPr>
            <w:tcW w:type="dxa" w:w="2045"/>
          </w:tcPr>
          <w:p>
            <w:r>
              <w:t>Knowledge-graph label</w:t>
            </w:r>
          </w:p>
        </w:tc>
        <w:tc>
          <w:tcPr>
            <w:tcW w:type="dxa" w:w="2045"/>
          </w:tcPr>
          <w:p>
            <w:r>
              <w:t>Not established</w:t>
            </w:r>
          </w:p>
        </w:tc>
        <w:tc>
          <w:tcPr>
            <w:tcW w:type="dxa" w:w="2045"/>
          </w:tcPr>
          <w:p>
            <w:r>
              <w:t>Strong semantic support</w:t>
            </w:r>
          </w:p>
        </w:tc>
        <w:tc>
          <w:tcPr>
            <w:tcW w:type="dxa" w:w="2045"/>
          </w:tcPr>
          <w:p>
            <w:r>
              <w:t>Not ground truth by itself</w:t>
            </w:r>
          </w:p>
        </w:tc>
        <w:tc>
          <w:tcPr>
            <w:tcW w:type="dxa" w:w="2045"/>
          </w:tcPr>
          <w:p>
            <w:r>
              <w:t>Validation/explainability support</w:t>
            </w:r>
          </w:p>
        </w:tc>
      </w:tr>
    </w:tbl>
    <w:p>
      <w:pPr>
        <w:pStyle w:val="Heading1"/>
      </w:pPr>
      <w:r>
        <w:t>10. What Is Complete vs What Is Not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Status</w:t>
            </w:r>
          </w:p>
        </w:tc>
        <w:tc>
          <w:tcPr>
            <w:tcW w:type="dxa" w:w="3408"/>
          </w:tcPr>
          <w:p>
            <w:r>
              <w:t>Decision implication</w:t>
            </w:r>
          </w:p>
        </w:tc>
      </w:tr>
      <w:tr>
        <w:tc>
          <w:tcPr>
            <w:tcW w:type="dxa" w:w="3408"/>
          </w:tcPr>
          <w:p>
            <w:r>
              <w:t>Source geography validation</w:t>
            </w:r>
          </w:p>
        </w:tc>
        <w:tc>
          <w:tcPr>
            <w:tcW w:type="dxa" w:w="3408"/>
          </w:tcPr>
          <w:p>
            <w:r>
              <w:t>Complete</w:t>
            </w:r>
          </w:p>
        </w:tc>
        <w:tc>
          <w:tcPr>
            <w:tcW w:type="dxa" w:w="3408"/>
          </w:tcPr>
          <w:p>
            <w:r>
              <w:t>County is the supported common geography.</w:t>
            </w:r>
          </w:p>
        </w:tc>
      </w:tr>
      <w:tr>
        <w:tc>
          <w:tcPr>
            <w:tcW w:type="dxa" w:w="3408"/>
          </w:tcPr>
          <w:p>
            <w:r>
              <w:t>ACS county acquisition/validation</w:t>
            </w:r>
          </w:p>
        </w:tc>
        <w:tc>
          <w:tcPr>
            <w:tcW w:type="dxa" w:w="3408"/>
          </w:tcPr>
          <w:p>
            <w:r>
              <w:t>Complete</w:t>
            </w:r>
          </w:p>
        </w:tc>
        <w:tc>
          <w:tcPr>
            <w:tcW w:type="dxa" w:w="3408"/>
          </w:tcPr>
          <w:p>
            <w:r>
              <w:t>Use verified 2024 5-year county extracts.</w:t>
            </w:r>
          </w:p>
        </w:tc>
      </w:tr>
      <w:tr>
        <w:tc>
          <w:tcPr>
            <w:tcW w:type="dxa" w:w="3408"/>
          </w:tcPr>
          <w:p>
            <w:r>
              <w:t>ACS + PLACES + SRAM county merge</w:t>
            </w:r>
          </w:p>
        </w:tc>
        <w:tc>
          <w:tcPr>
            <w:tcW w:type="dxa" w:w="3408"/>
          </w:tcPr>
          <w:p>
            <w:r>
              <w:t>Complete</w:t>
            </w:r>
          </w:p>
        </w:tc>
        <w:tc>
          <w:tcPr>
            <w:tcW w:type="dxa" w:w="3408"/>
          </w:tcPr>
          <w:p>
            <w:r>
              <w:t>county_fips is the join key.</w:t>
            </w:r>
          </w:p>
        </w:tc>
      </w:tr>
      <w:tr>
        <w:tc>
          <w:tcPr>
            <w:tcW w:type="dxa" w:w="3408"/>
          </w:tcPr>
          <w:p>
            <w:r>
              <w:t>Member SDOH enrichment</w:t>
            </w:r>
          </w:p>
        </w:tc>
        <w:tc>
          <w:tcPr>
            <w:tcW w:type="dxa" w:w="3408"/>
          </w:tcPr>
          <w:p>
            <w:r>
              <w:t>Complete for 87 matched members</w:t>
            </w:r>
          </w:p>
        </w:tc>
        <w:tc>
          <w:tcPr>
            <w:tcW w:type="dxa" w:w="3408"/>
          </w:tcPr>
          <w:p>
            <w:r>
              <w:t>Do not fabricate the 21 missing counties.</w:t>
            </w:r>
          </w:p>
        </w:tc>
      </w:tr>
      <w:tr>
        <w:tc>
          <w:tcPr>
            <w:tcW w:type="dxa" w:w="3408"/>
          </w:tcPr>
          <w:p>
            <w:r>
              <w:t>Feature quality audit</w:t>
            </w:r>
          </w:p>
        </w:tc>
        <w:tc>
          <w:tcPr>
            <w:tcW w:type="dxa" w:w="3408"/>
          </w:tcPr>
          <w:p>
            <w:r>
              <w:t>Complete</w:t>
            </w:r>
          </w:p>
        </w:tc>
        <w:tc>
          <w:tcPr>
            <w:tcW w:type="dxa" w:w="3408"/>
          </w:tcPr>
          <w:p>
            <w:r>
              <w:t>Review three highly correlated pairs.</w:t>
            </w:r>
          </w:p>
        </w:tc>
      </w:tr>
      <w:tr>
        <w:tc>
          <w:tcPr>
            <w:tcW w:type="dxa" w:w="3408"/>
          </w:tcPr>
          <w:p>
            <w:r>
              <w:t>SDOH feature selection</w:t>
            </w:r>
          </w:p>
        </w:tc>
        <w:tc>
          <w:tcPr>
            <w:tcW w:type="dxa" w:w="3408"/>
          </w:tcPr>
          <w:p>
            <w:r>
              <w:t>Complete candidate set</w:t>
            </w:r>
          </w:p>
        </w:tc>
        <w:tc>
          <w:tcPr>
            <w:tcW w:type="dxa" w:w="3408"/>
          </w:tcPr>
          <w:p>
            <w:r>
              <w:t>46 SDOH features were selected, with demographic context separate.</w:t>
            </w:r>
          </w:p>
        </w:tc>
      </w:tr>
      <w:tr>
        <w:tc>
          <w:tcPr>
            <w:tcW w:type="dxa" w:w="3408"/>
          </w:tcPr>
          <w:p>
            <w:r>
              <w:t>Clinical target outputs</w:t>
            </w:r>
          </w:p>
        </w:tc>
        <w:tc>
          <w:tcPr>
            <w:tcW w:type="dxa" w:w="3408"/>
          </w:tcPr>
          <w:p>
            <w:r>
              <w:t>Available</w:t>
            </w:r>
          </w:p>
        </w:tc>
        <w:tc>
          <w:tcPr>
            <w:tcW w:type="dxa" w:w="3408"/>
          </w:tcPr>
          <w:p>
            <w:r>
              <w:t>Real clinical/utilization data exists.</w:t>
            </w:r>
          </w:p>
        </w:tc>
      </w:tr>
      <w:tr>
        <w:tc>
          <w:tcPr>
            <w:tcW w:type="dxa" w:w="3408"/>
          </w:tcPr>
          <w:p>
            <w:r>
              <w:t>Target-definition validation</w:t>
            </w:r>
          </w:p>
        </w:tc>
        <w:tc>
          <w:tcPr>
            <w:tcW w:type="dxa" w:w="3408"/>
          </w:tcPr>
          <w:p>
            <w:r>
              <w:t>Pending</w:t>
            </w:r>
          </w:p>
        </w:tc>
        <w:tc>
          <w:tcPr>
            <w:tcW w:type="dxa" w:w="3408"/>
          </w:tcPr>
          <w:p>
            <w:r>
              <w:t>Must happen before modelling.</w:t>
            </w:r>
          </w:p>
        </w:tc>
      </w:tr>
      <w:tr>
        <w:tc>
          <w:tcPr>
            <w:tcW w:type="dxa" w:w="3408"/>
          </w:tcPr>
          <w:p>
            <w:r>
              <w:t>Leakage audit</w:t>
            </w:r>
          </w:p>
        </w:tc>
        <w:tc>
          <w:tcPr>
            <w:tcW w:type="dxa" w:w="3408"/>
          </w:tcPr>
          <w:p>
            <w:r>
              <w:t>Pending</w:t>
            </w:r>
          </w:p>
        </w:tc>
        <w:tc>
          <w:tcPr>
            <w:tcW w:type="dxa" w:w="3408"/>
          </w:tcPr>
          <w:p>
            <w:r>
              <w:t>Mandatory before training.</w:t>
            </w:r>
          </w:p>
        </w:tc>
      </w:tr>
      <w:tr>
        <w:tc>
          <w:tcPr>
            <w:tcW w:type="dxa" w:w="3408"/>
          </w:tcPr>
          <w:p>
            <w:r>
              <w:t>Model training</w:t>
            </w:r>
          </w:p>
        </w:tc>
        <w:tc>
          <w:tcPr>
            <w:tcW w:type="dxa" w:w="3408"/>
          </w:tcPr>
          <w:p>
            <w:r>
              <w:t>Not started</w:t>
            </w:r>
          </w:p>
        </w:tc>
        <w:tc>
          <w:tcPr>
            <w:tcW w:type="dxa" w:w="3408"/>
          </w:tcPr>
          <w:p>
            <w:r>
              <w:t>Begin only after target validation.</w:t>
            </w:r>
          </w:p>
        </w:tc>
      </w:tr>
    </w:tbl>
    <w:p>
      <w:pPr>
        <w:pStyle w:val="Heading1"/>
      </w:pPr>
      <w:r>
        <w:t>11. Remaining Decisions to Make</w:t>
      </w:r>
    </w:p>
    <w:p>
      <w:pPr>
        <w:pStyle w:val="ListNumber"/>
      </w:pPr>
      <w:r>
        <w:rPr>
          <w:b/>
        </w:rPr>
        <w:t xml:space="preserve">1. Exact target rule: </w:t>
      </w:r>
      <w:r>
        <w:t>Document the mathematical/clinical rule for high_utilization and alternatives.</w:t>
      </w:r>
    </w:p>
    <w:p>
      <w:pPr>
        <w:pStyle w:val="ListNumber"/>
      </w:pPr>
      <w:r>
        <w:rPr>
          <w:b/>
        </w:rPr>
        <w:t xml:space="preserve">2. Prediction horizon: </w:t>
      </w:r>
      <w:r>
        <w:t>Define what information is available at prediction time and what future period the model is intended to predict.</w:t>
      </w:r>
    </w:p>
    <w:p>
      <w:pPr>
        <w:pStyle w:val="ListNumber"/>
      </w:pPr>
      <w:r>
        <w:rPr>
          <w:b/>
        </w:rPr>
        <w:t xml:space="preserve">3. Handling 21 unmatched members: </w:t>
      </w:r>
      <w:r>
        <w:t>Choose complete-case analysis, principled model-time imputation, or a justified exclusion rule.</w:t>
      </w:r>
    </w:p>
    <w:p>
      <w:pPr>
        <w:pStyle w:val="ListNumber"/>
      </w:pPr>
      <w:r>
        <w:rPr>
          <w:b/>
        </w:rPr>
        <w:t xml:space="preserve">4. Redundant features: </w:t>
      </w:r>
      <w:r>
        <w:t>Choose which member of each highly correlated pair is more interpretable and appropriate.</w:t>
      </w:r>
    </w:p>
    <w:p>
      <w:pPr>
        <w:pStyle w:val="ListNumber"/>
      </w:pPr>
      <w:r>
        <w:rPr>
          <w:b/>
        </w:rPr>
        <w:t xml:space="preserve">5. Primary model: </w:t>
      </w:r>
      <w:r>
        <w:t>Start with logistic regression; add a tree model only as a comparison.</w:t>
      </w:r>
    </w:p>
    <w:p>
      <w:pPr>
        <w:pStyle w:val="ListNumber"/>
      </w:pPr>
      <w:r>
        <w:rPr>
          <w:b/>
        </w:rPr>
        <w:t xml:space="preserve">6. Threshold: </w:t>
      </w:r>
      <w:r>
        <w:t>Select a risk threshold based on the intended intervention capacity, not arbitrary probability cutoffs.</w:t>
      </w:r>
    </w:p>
    <w:p>
      <w:pPr>
        <w:pStyle w:val="ListNumber"/>
      </w:pPr>
      <w:r>
        <w:rPr>
          <w:b/>
        </w:rPr>
        <w:t xml:space="preserve">7. Validation strategy: </w:t>
      </w:r>
      <w:r>
        <w:t>Because n=108 is small, decide whether repeated stratified resampling or cross-validation is more informative than one split.</w:t>
      </w:r>
    </w:p>
    <w:p>
      <w:pPr>
        <w:pStyle w:val="ListNumber"/>
      </w:pPr>
      <w:r>
        <w:rPr>
          <w:b/>
        </w:rPr>
        <w:t xml:space="preserve">8. Explainability: </w:t>
      </w:r>
      <w:r>
        <w:t>Define how feature contributions will be presented without claiming causality.</w:t>
      </w:r>
    </w:p>
    <w:p>
      <w:pPr>
        <w:pStyle w:val="Heading1"/>
      </w:pPr>
      <w:r>
        <w:t>12. End-to-End Execution Order</w:t>
      </w:r>
    </w:p>
    <w:p>
      <w:pPr>
        <w:pStyle w:val="ListNumber"/>
      </w:pPr>
      <w:r>
        <w:t>Freeze and version the validated source datasets.</w:t>
      </w:r>
    </w:p>
    <w:p>
      <w:pPr>
        <w:pStyle w:val="ListNumber"/>
      </w:pPr>
      <w:r>
        <w:t>Verify the county-level geographic contract and county_fips normalization.</w:t>
      </w:r>
    </w:p>
    <w:p>
      <w:pPr>
        <w:pStyle w:val="ListNumber"/>
      </w:pPr>
      <w:r>
        <w:t>Keep the eight verified ACS 5-year county sources as the source of socioeconomic/demographic data.</w:t>
      </w:r>
    </w:p>
    <w:p>
      <w:pPr>
        <w:pStyle w:val="ListNumber"/>
      </w:pPr>
      <w:r>
        <w:t>Keep PLACES at county level.</w:t>
      </w:r>
    </w:p>
    <w:p>
      <w:pPr>
        <w:pStyle w:val="ListNumber"/>
      </w:pPr>
      <w:r>
        <w:t>Aggregate SRAM tract measures to county only where aggregation is semantically valid.</w:t>
      </w:r>
    </w:p>
    <w:p>
      <w:pPr>
        <w:pStyle w:val="ListNumber"/>
      </w:pPr>
      <w:r>
        <w:t>Merge ACS + PLACES + SRAM on county_fips.</w:t>
      </w:r>
    </w:p>
    <w:p>
      <w:pPr>
        <w:pStyle w:val="ListNumber"/>
      </w:pPr>
      <w:r>
        <w:t>Enrich Synthea members only when their county_fips is valid and matched.</w:t>
      </w:r>
    </w:p>
    <w:p>
      <w:pPr>
        <w:pStyle w:val="ListNumber"/>
      </w:pPr>
      <w:r>
        <w:t>Audit missingness, numeric types, variance, and feature correlation.</w:t>
      </w:r>
    </w:p>
    <w:p>
      <w:pPr>
        <w:pStyle w:val="ListNumber"/>
      </w:pPr>
      <w:r>
        <w:t>Keep female_pct excluded because the source provides only (X) rather than numeric county values.</w:t>
      </w:r>
    </w:p>
    <w:p>
      <w:pPr>
        <w:pStyle w:val="ListNumber"/>
      </w:pPr>
      <w:r>
        <w:t>Create the candidate SDOH feature matrix.</w:t>
      </w:r>
    </w:p>
    <w:p>
      <w:pPr>
        <w:pStyle w:val="ListNumber"/>
      </w:pPr>
      <w:r>
        <w:t>Validate the clinical target definitions.</w:t>
      </w:r>
    </w:p>
    <w:p>
      <w:pPr>
        <w:pStyle w:val="ListNumber"/>
      </w:pPr>
      <w:r>
        <w:t>Define the prediction time and outcome window.</w:t>
      </w:r>
    </w:p>
    <w:p>
      <w:pPr>
        <w:pStyle w:val="ListNumber"/>
      </w:pPr>
      <w:r>
        <w:t>Run a formal target leakage audit.</w:t>
      </w:r>
    </w:p>
    <w:p>
      <w:pPr>
        <w:pStyle w:val="ListNumber"/>
      </w:pPr>
      <w:r>
        <w:t>Join predictors and target on member_id.</w:t>
      </w:r>
    </w:p>
    <w:p>
      <w:pPr>
        <w:pStyle w:val="ListNumber"/>
      </w:pPr>
      <w:r>
        <w:t>Decide how the 21 unmatched members are handled without inventing geography.</w:t>
      </w:r>
    </w:p>
    <w:p>
      <w:pPr>
        <w:pStyle w:val="ListNumber"/>
      </w:pPr>
      <w:r>
        <w:t>Review highly correlated features.</w:t>
      </w:r>
    </w:p>
    <w:p>
      <w:pPr>
        <w:pStyle w:val="ListNumber"/>
      </w:pPr>
      <w:r>
        <w:t>Build the logistic-regression baseline.</w:t>
      </w:r>
    </w:p>
    <w:p>
      <w:pPr>
        <w:pStyle w:val="ListNumber"/>
      </w:pPr>
      <w:r>
        <w:t>Build one modest tree-based comparison model.</w:t>
      </w:r>
    </w:p>
    <w:p>
      <w:pPr>
        <w:pStyle w:val="ListNumber"/>
      </w:pPr>
      <w:r>
        <w:t>Evaluate using PR-AUC, ROC-AUC, precision, recall, F1, confusion matrix, and calibration.</w:t>
      </w:r>
    </w:p>
    <w:p>
      <w:pPr>
        <w:pStyle w:val="ListNumber"/>
      </w:pPr>
      <w:r>
        <w:t>Choose the simplest model that meets the objective.</w:t>
      </w:r>
    </w:p>
    <w:p>
      <w:pPr>
        <w:pStyle w:val="ListNumber"/>
      </w:pPr>
      <w:r>
        <w:t>Generate member-level risk scores.</w:t>
      </w:r>
    </w:p>
    <w:p>
      <w:pPr>
        <w:pStyle w:val="ListNumber"/>
      </w:pPr>
      <w:r>
        <w:t>Choose prioritization thresholds based on operational capacity.</w:t>
      </w:r>
    </w:p>
    <w:p>
      <w:pPr>
        <w:pStyle w:val="ListNumber"/>
      </w:pPr>
      <w:r>
        <w:t>Use explainability methods to identify predictive SDOH drivers.</w:t>
      </w:r>
    </w:p>
    <w:p>
      <w:pPr>
        <w:pStyle w:val="ListNumber"/>
      </w:pPr>
      <w:r>
        <w:t>Use the knowledge graph for semantic validation/explanation, not as substitute ground truth.</w:t>
      </w:r>
    </w:p>
    <w:p>
      <w:pPr>
        <w:pStyle w:val="ListNumber"/>
      </w:pPr>
      <w:r>
        <w:t>Document limitations, especially the 108-member sample size and synthetic nature of Synthea clinical events.</w:t>
      </w:r>
    </w:p>
    <w:p>
      <w:pPr>
        <w:pStyle w:val="ListNumber"/>
      </w:pPr>
      <w:r>
        <w:t>Produce the final member prioritization output and reproducibility report.</w:t>
      </w:r>
    </w:p>
    <w:p>
      <w:pPr>
        <w:pStyle w:val="Heading1"/>
      </w:pPr>
      <w:r>
        <w:t>13. Key Principles That Should Not Be Reversed</w:t>
      </w:r>
    </w:p>
    <w:p>
      <w:pPr>
        <w:pStyle w:val="ListBullet"/>
      </w:pPr>
      <w:r>
        <w:t>Do not create a member-to-tract relationship without a legitimate crosswalk.</w:t>
      </w:r>
    </w:p>
    <w:p>
      <w:pPr>
        <w:pStyle w:val="ListBullet"/>
      </w:pPr>
      <w:r>
        <w:t>Do not replace missing county data with arbitrary geographic assignments.</w:t>
      </w:r>
    </w:p>
    <w:p>
      <w:pPr>
        <w:pStyle w:val="ListBullet"/>
      </w:pPr>
      <w:r>
        <w:t>Do not use national/state ACS records as county data.</w:t>
      </w:r>
    </w:p>
    <w:p>
      <w:pPr>
        <w:pStyle w:val="ListBullet"/>
      </w:pPr>
      <w:r>
        <w:t>Do not synthesize clinical target labels when source clinical outcomes are available.</w:t>
      </w:r>
    </w:p>
    <w:p>
      <w:pPr>
        <w:pStyle w:val="ListBullet"/>
      </w:pPr>
      <w:r>
        <w:t>Do not use target-defining clinical events as predictors without a valid prediction-time justification.</w:t>
      </w:r>
    </w:p>
    <w:p>
      <w:pPr>
        <w:pStyle w:val="ListBullet"/>
      </w:pPr>
      <w:r>
        <w:t>Do not impute before the train/test split.</w:t>
      </w:r>
    </w:p>
    <w:p>
      <w:pPr>
        <w:pStyle w:val="ListBullet"/>
      </w:pPr>
      <w:r>
        <w:t>Do not optimize only for accuracy on an imbalanced target.</w:t>
      </w:r>
    </w:p>
    <w:p>
      <w:pPr>
        <w:pStyle w:val="ListBullet"/>
      </w:pPr>
      <w:r>
        <w:t>Do not interpret predictive associations as causal effects.</w:t>
      </w:r>
    </w:p>
    <w:p>
      <w:pPr>
        <w:pStyle w:val="ListBullet"/>
      </w:pPr>
      <w:r>
        <w:t>Do not allow model complexity to exceed what the 108-member sample can support.</w:t>
      </w:r>
    </w:p>
    <w:p>
      <w:pPr>
        <w:pStyle w:val="Heading1"/>
      </w:pPr>
      <w:r>
        <w:t>14. Final Project Decision Summary</w:t>
      </w:r>
    </w:p>
    <w:p>
      <w:r>
        <w:t>The project deliberately moved from an initially considered tract-level architecture to a county-level architecture because county geography is the strongest common geography supported by the real sources. This allowed verified ACS 5-year county data, PLACES county data, county-aggregated SRAM, and Synthea county information to be combined without inventing geography.</w:t>
      </w:r>
    </w:p>
    <w:p>
      <w:r>
        <w:t>The project then separated feature engineering from target construction. SDOH predictors come from ACS/PLACES/SRAM, while the candidate outcomes come from Synthea clinical/utilization data. This separation is important because it allows the model to ask whether social/environmental context is predictive of a clinically defined outcome rather than merely reproducing an SDOH score.</w:t>
      </w:r>
    </w:p>
    <w:p>
      <w:r>
        <w:t>The project is now at the boundary between preprocessing and modelling. The next gate is not another large data merge. It is target-definition validation and leakage prevention. Only after that gate should the first predictive model be trained.</w:t>
      </w:r>
    </w:p>
    <w:p/>
    <w:p>
      <w:r>
        <w:rPr>
          <w:b/>
        </w:rPr>
        <w:t xml:space="preserve">Bottom line: </w:t>
      </w:r>
      <w:r>
        <w:t>the important work completed so far is not just cleaning data; it is establishing a defensible chain from source geography → county SDOH context → member enrichment → clinical outcome → leakage-safe modelling.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