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467A" w14:textId="56C73296" w:rsidR="007B0255" w:rsidRPr="003B72AB" w:rsidRDefault="003B72AB">
      <w:pPr>
        <w:rPr>
          <w:b/>
          <w:bCs/>
          <w:sz w:val="50"/>
          <w:szCs w:val="50"/>
        </w:rPr>
      </w:pPr>
      <w:proofErr w:type="spellStart"/>
      <w:r w:rsidRPr="003B72AB">
        <w:rPr>
          <w:b/>
          <w:bCs/>
          <w:sz w:val="50"/>
          <w:szCs w:val="50"/>
        </w:rPr>
        <w:t>synthea_sample_data_csv_latest</w:t>
      </w:r>
      <w:proofErr w:type="spellEnd"/>
      <w:r w:rsidRPr="003B72AB">
        <w:rPr>
          <w:b/>
          <w:bCs/>
          <w:sz w:val="50"/>
          <w:szCs w:val="50"/>
        </w:rPr>
        <w:t xml:space="preserve"> </w:t>
      </w:r>
    </w:p>
    <w:p w14:paraId="73257E3E" w14:textId="77777777" w:rsidR="003B72AB" w:rsidRDefault="003B72AB" w:rsidP="003B72AB">
      <w:pPr>
        <w:pStyle w:val="ListParagraph"/>
        <w:numPr>
          <w:ilvl w:val="0"/>
          <w:numId w:val="1"/>
        </w:numPr>
        <w:rPr>
          <w:b/>
          <w:bCs/>
          <w:sz w:val="50"/>
          <w:szCs w:val="50"/>
        </w:rPr>
      </w:pPr>
      <w:r w:rsidRPr="003B72AB">
        <w:rPr>
          <w:b/>
          <w:bCs/>
          <w:sz w:val="50"/>
          <w:szCs w:val="50"/>
        </w:rPr>
        <w:t>Allergies</w:t>
      </w:r>
    </w:p>
    <w:p w14:paraId="269FCA7F" w14:textId="77777777" w:rsidR="003B72AB" w:rsidRPr="003B72AB" w:rsidRDefault="003B72AB" w:rsidP="003B72AB">
      <w:pPr>
        <w:pStyle w:val="ListParagraph"/>
        <w:ind w:left="1080"/>
        <w:rPr>
          <w:sz w:val="40"/>
          <w:szCs w:val="40"/>
        </w:rPr>
      </w:pPr>
      <w:r w:rsidRPr="003B72AB">
        <w:rPr>
          <w:sz w:val="40"/>
          <w:szCs w:val="40"/>
        </w:rPr>
        <w:t>Preprocessing result</w:t>
      </w:r>
    </w:p>
    <w:p w14:paraId="5B281F8F" w14:textId="77777777" w:rsidR="003B72AB" w:rsidRPr="003B72AB" w:rsidRDefault="003B72AB" w:rsidP="003B72AB">
      <w:pPr>
        <w:pStyle w:val="ListParagraph"/>
        <w:numPr>
          <w:ilvl w:val="0"/>
          <w:numId w:val="2"/>
        </w:numPr>
        <w:rPr>
          <w:sz w:val="40"/>
          <w:szCs w:val="40"/>
        </w:rPr>
      </w:pPr>
      <w:r w:rsidRPr="003B72AB">
        <w:rPr>
          <w:sz w:val="40"/>
          <w:szCs w:val="40"/>
        </w:rPr>
        <w:t xml:space="preserve">134 records </w:t>
      </w:r>
    </w:p>
    <w:p w14:paraId="2D4F9E59" w14:textId="77777777" w:rsidR="003B72AB" w:rsidRPr="003B72AB" w:rsidRDefault="003B72AB" w:rsidP="003B72AB">
      <w:pPr>
        <w:pStyle w:val="ListParagraph"/>
        <w:numPr>
          <w:ilvl w:val="0"/>
          <w:numId w:val="2"/>
        </w:numPr>
        <w:rPr>
          <w:sz w:val="40"/>
          <w:szCs w:val="40"/>
        </w:rPr>
      </w:pPr>
      <w:r w:rsidRPr="003B72AB">
        <w:rPr>
          <w:sz w:val="40"/>
          <w:szCs w:val="40"/>
        </w:rPr>
        <w:t xml:space="preserve">22 unique patients </w:t>
      </w:r>
    </w:p>
    <w:p w14:paraId="627A774C" w14:textId="77777777" w:rsidR="003B72AB" w:rsidRPr="003B72AB" w:rsidRDefault="003B72AB" w:rsidP="003B72AB">
      <w:pPr>
        <w:pStyle w:val="ListParagraph"/>
        <w:numPr>
          <w:ilvl w:val="0"/>
          <w:numId w:val="2"/>
        </w:numPr>
        <w:rPr>
          <w:sz w:val="40"/>
          <w:szCs w:val="40"/>
        </w:rPr>
      </w:pPr>
      <w:r w:rsidRPr="003B72AB">
        <w:rPr>
          <w:sz w:val="40"/>
          <w:szCs w:val="40"/>
        </w:rPr>
        <w:t xml:space="preserve">22 unique encounters </w:t>
      </w:r>
    </w:p>
    <w:p w14:paraId="0F3F9CF1" w14:textId="77777777" w:rsidR="003B72AB" w:rsidRPr="003B72AB" w:rsidRDefault="003B72AB" w:rsidP="003B72AB">
      <w:pPr>
        <w:pStyle w:val="ListParagraph"/>
        <w:numPr>
          <w:ilvl w:val="0"/>
          <w:numId w:val="2"/>
        </w:numPr>
        <w:rPr>
          <w:sz w:val="40"/>
          <w:szCs w:val="40"/>
        </w:rPr>
      </w:pPr>
      <w:r w:rsidRPr="003B72AB">
        <w:rPr>
          <w:sz w:val="40"/>
          <w:szCs w:val="40"/>
        </w:rPr>
        <w:t xml:space="preserve">0 duplicate records </w:t>
      </w:r>
    </w:p>
    <w:p w14:paraId="16748678" w14:textId="77777777" w:rsidR="003B72AB" w:rsidRPr="003B72AB" w:rsidRDefault="003B72AB" w:rsidP="003B72AB">
      <w:pPr>
        <w:pStyle w:val="ListParagraph"/>
        <w:numPr>
          <w:ilvl w:val="0"/>
          <w:numId w:val="2"/>
        </w:numPr>
        <w:rPr>
          <w:sz w:val="40"/>
          <w:szCs w:val="40"/>
        </w:rPr>
      </w:pPr>
      <w:r w:rsidRPr="003B72AB">
        <w:rPr>
          <w:sz w:val="40"/>
          <w:szCs w:val="40"/>
        </w:rPr>
        <w:t xml:space="preserve">Standardized column names </w:t>
      </w:r>
    </w:p>
    <w:p w14:paraId="0F5776EC" w14:textId="77777777" w:rsidR="003B72AB" w:rsidRPr="003B72AB" w:rsidRDefault="003B72AB" w:rsidP="003B72AB">
      <w:pPr>
        <w:pStyle w:val="ListParagraph"/>
        <w:numPr>
          <w:ilvl w:val="0"/>
          <w:numId w:val="2"/>
        </w:numPr>
        <w:rPr>
          <w:sz w:val="40"/>
          <w:szCs w:val="40"/>
        </w:rPr>
      </w:pPr>
      <w:r w:rsidRPr="003B72AB">
        <w:rPr>
          <w:sz w:val="40"/>
          <w:szCs w:val="40"/>
        </w:rPr>
        <w:t xml:space="preserve">Converted START / STOP to dates </w:t>
      </w:r>
    </w:p>
    <w:p w14:paraId="297A0098" w14:textId="77777777" w:rsidR="003B72AB" w:rsidRPr="003B72AB" w:rsidRDefault="003B72AB" w:rsidP="003B72AB">
      <w:pPr>
        <w:pStyle w:val="ListParagraph"/>
        <w:numPr>
          <w:ilvl w:val="0"/>
          <w:numId w:val="2"/>
        </w:numPr>
        <w:rPr>
          <w:sz w:val="40"/>
          <w:szCs w:val="40"/>
        </w:rPr>
      </w:pPr>
      <w:r w:rsidRPr="003B72AB">
        <w:rPr>
          <w:sz w:val="40"/>
          <w:szCs w:val="40"/>
        </w:rPr>
        <w:t xml:space="preserve">Converted medical codes to strings </w:t>
      </w:r>
    </w:p>
    <w:p w14:paraId="48759E49" w14:textId="77777777" w:rsidR="003B72AB" w:rsidRPr="003B72AB" w:rsidRDefault="003B72AB" w:rsidP="003B72AB">
      <w:pPr>
        <w:pStyle w:val="ListParagraph"/>
        <w:numPr>
          <w:ilvl w:val="0"/>
          <w:numId w:val="2"/>
        </w:numPr>
        <w:rPr>
          <w:sz w:val="40"/>
          <w:szCs w:val="40"/>
        </w:rPr>
      </w:pPr>
      <w:r w:rsidRPr="003B72AB">
        <w:rPr>
          <w:sz w:val="40"/>
          <w:szCs w:val="40"/>
        </w:rPr>
        <w:t xml:space="preserve">Cleaned categorical/text values </w:t>
      </w:r>
    </w:p>
    <w:p w14:paraId="634632E7" w14:textId="77777777" w:rsidR="003B72AB" w:rsidRPr="003B72AB" w:rsidRDefault="003B72AB" w:rsidP="003B72AB">
      <w:pPr>
        <w:pStyle w:val="ListParagraph"/>
        <w:numPr>
          <w:ilvl w:val="0"/>
          <w:numId w:val="2"/>
        </w:numPr>
        <w:rPr>
          <w:sz w:val="40"/>
          <w:szCs w:val="40"/>
        </w:rPr>
      </w:pPr>
      <w:r w:rsidRPr="003B72AB">
        <w:rPr>
          <w:sz w:val="40"/>
          <w:szCs w:val="40"/>
        </w:rPr>
        <w:t xml:space="preserve">Added </w:t>
      </w:r>
      <w:proofErr w:type="spellStart"/>
      <w:r w:rsidRPr="003B72AB">
        <w:rPr>
          <w:sz w:val="40"/>
          <w:szCs w:val="40"/>
        </w:rPr>
        <w:t>allergy_status</w:t>
      </w:r>
      <w:proofErr w:type="spellEnd"/>
      <w:r w:rsidRPr="003B72AB">
        <w:rPr>
          <w:sz w:val="40"/>
          <w:szCs w:val="40"/>
        </w:rPr>
        <w:t xml:space="preserve"> </w:t>
      </w:r>
    </w:p>
    <w:p w14:paraId="171BC6B3" w14:textId="77777777" w:rsidR="003B72AB" w:rsidRDefault="003B72AB" w:rsidP="003B72AB">
      <w:pPr>
        <w:pStyle w:val="ListParagraph"/>
        <w:numPr>
          <w:ilvl w:val="0"/>
          <w:numId w:val="2"/>
        </w:numPr>
        <w:rPr>
          <w:sz w:val="40"/>
          <w:szCs w:val="40"/>
        </w:rPr>
      </w:pPr>
      <w:r w:rsidRPr="003B72AB">
        <w:rPr>
          <w:sz w:val="40"/>
          <w:szCs w:val="40"/>
        </w:rPr>
        <w:t>Preserved missing reaction/severity values because they represent unavailable information, not necessarily errors</w:t>
      </w:r>
    </w:p>
    <w:p w14:paraId="5E1DE0CD" w14:textId="506A8A8B" w:rsidR="003B72AB" w:rsidRDefault="003B72AB" w:rsidP="003B72AB">
      <w:pPr>
        <w:rPr>
          <w:sz w:val="30"/>
          <w:szCs w:val="30"/>
        </w:rPr>
      </w:pPr>
      <w:r w:rsidRPr="003B72AB">
        <w:rPr>
          <w:sz w:val="30"/>
          <w:szCs w:val="30"/>
        </w:rPr>
        <w:t xml:space="preserve">The </w:t>
      </w:r>
      <w:r w:rsidRPr="003B72AB">
        <w:rPr>
          <w:b/>
          <w:bCs/>
          <w:sz w:val="30"/>
          <w:szCs w:val="30"/>
        </w:rPr>
        <w:t>Allergies dataset</w:t>
      </w:r>
      <w:r w:rsidRPr="003B72AB">
        <w:rPr>
          <w:sz w:val="30"/>
          <w:szCs w:val="30"/>
        </w:rPr>
        <w:t xml:space="preserve"> contains information about the allergies or intolerances of patients. Each row represents one allergy record for a patient, so one patient can have multiple allergy records. It contains details such as the </w:t>
      </w:r>
      <w:r w:rsidRPr="003B72AB">
        <w:rPr>
          <w:b/>
          <w:bCs/>
          <w:sz w:val="30"/>
          <w:szCs w:val="30"/>
        </w:rPr>
        <w:t>patient ID, allergy name, type of allergy, category, start date, reaction, and severity</w:t>
      </w:r>
      <w:r w:rsidRPr="003B72AB">
        <w:rPr>
          <w:sz w:val="30"/>
          <w:szCs w:val="30"/>
        </w:rPr>
        <w:t xml:space="preserve">. The allergies are mainly divided into </w:t>
      </w:r>
      <w:r w:rsidRPr="003B72AB">
        <w:rPr>
          <w:b/>
          <w:bCs/>
          <w:sz w:val="30"/>
          <w:szCs w:val="30"/>
        </w:rPr>
        <w:t>environmental, food, and medication</w:t>
      </w:r>
      <w:r w:rsidRPr="003B72AB">
        <w:rPr>
          <w:sz w:val="30"/>
          <w:szCs w:val="30"/>
        </w:rPr>
        <w:t xml:space="preserve"> categories. In our dataset, there are </w:t>
      </w:r>
      <w:r w:rsidRPr="003B72AB">
        <w:rPr>
          <w:b/>
          <w:bCs/>
          <w:sz w:val="30"/>
          <w:szCs w:val="30"/>
        </w:rPr>
        <w:t>134 records belonging to 22 patients</w:t>
      </w:r>
      <w:r w:rsidRPr="003B72AB">
        <w:rPr>
          <w:sz w:val="30"/>
          <w:szCs w:val="30"/>
        </w:rPr>
        <w:t>. During preprocessing, we cleaned the column names, converted dates into the correct format, cleaned text values, kept medical codes as text, removed duplicate records, and handled missing values without guessing them. This information will later be combined with the patient's other health, SDOH, and geographic information to help calculate their overall risk.</w:t>
      </w:r>
    </w:p>
    <w:p w14:paraId="4BE4DA87" w14:textId="77777777" w:rsidR="003B72AB" w:rsidRDefault="003B72AB" w:rsidP="003B72AB">
      <w:pPr>
        <w:rPr>
          <w:sz w:val="30"/>
          <w:szCs w:val="30"/>
        </w:rPr>
      </w:pPr>
    </w:p>
    <w:p w14:paraId="50E49429" w14:textId="586F73D9" w:rsidR="003B72AB" w:rsidRPr="003B72AB" w:rsidRDefault="003B72AB" w:rsidP="003B72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72AB">
        <w:rPr>
          <w:rFonts w:ascii="Times New Roman" w:eastAsia="Times New Roman" w:hAnsi="Times New Roman" w:cs="Times New Roman"/>
          <w:b/>
          <w:bCs/>
          <w:kern w:val="0"/>
          <w:sz w:val="27"/>
          <w:szCs w:val="27"/>
          <w:lang w:eastAsia="en-IN"/>
          <w14:ligatures w14:val="none"/>
        </w:rPr>
        <w:lastRenderedPageBreak/>
        <w:t>Original</w:t>
      </w:r>
      <w:r>
        <w:rPr>
          <w:rFonts w:ascii="Times New Roman" w:eastAsia="Times New Roman" w:hAnsi="Times New Roman" w:cs="Times New Roman"/>
          <w:b/>
          <w:bCs/>
          <w:kern w:val="0"/>
          <w:sz w:val="27"/>
          <w:szCs w:val="27"/>
          <w:lang w:eastAsia="en-IN"/>
          <w14:ligatures w14:val="none"/>
        </w:rPr>
        <w:t xml:space="preserve">                                                          </w:t>
      </w:r>
      <w:r w:rsidRPr="003B72AB">
        <w:rPr>
          <w:rFonts w:ascii="Times New Roman" w:eastAsia="Times New Roman" w:hAnsi="Times New Roman" w:cs="Times New Roman"/>
          <w:b/>
          <w:bCs/>
          <w:kern w:val="0"/>
          <w:sz w:val="27"/>
          <w:szCs w:val="27"/>
          <w:lang w:eastAsia="en-IN"/>
          <w14:ligatures w14:val="none"/>
        </w:rPr>
        <w:t>Processed</w:t>
      </w:r>
    </w:p>
    <w:p w14:paraId="6C14D743" w14:textId="1EEFB499"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START</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patient</w:t>
      </w:r>
    </w:p>
    <w:p w14:paraId="76931488" w14:textId="2870CFB6"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STOP</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encounter</w:t>
      </w:r>
    </w:p>
    <w:p w14:paraId="03879487" w14:textId="7DCBA591"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PATIENT</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start</w:t>
      </w:r>
    </w:p>
    <w:p w14:paraId="0359C0E9" w14:textId="2F55805A"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ENCOUNTER</w:t>
      </w:r>
      <w:r>
        <w:rPr>
          <w:rFonts w:ascii="Courier New" w:eastAsia="Times New Roman" w:hAnsi="Courier New" w:cs="Courier New"/>
          <w:kern w:val="0"/>
          <w:sz w:val="20"/>
          <w:szCs w:val="20"/>
          <w:lang w:eastAsia="en-IN"/>
          <w14:ligatures w14:val="none"/>
        </w:rPr>
        <w:t xml:space="preserve">                                </w:t>
      </w:r>
      <w:proofErr w:type="gramStart"/>
      <w:r w:rsidRPr="003B72AB">
        <w:rPr>
          <w:rFonts w:ascii="Courier New" w:eastAsia="Times New Roman" w:hAnsi="Courier New" w:cs="Courier New"/>
          <w:kern w:val="0"/>
          <w:sz w:val="20"/>
          <w:szCs w:val="20"/>
          <w:lang w:eastAsia="en-IN"/>
          <w14:ligatures w14:val="none"/>
        </w:rPr>
        <w:t>stop</w:t>
      </w:r>
      <w:proofErr w:type="gramEnd"/>
    </w:p>
    <w:p w14:paraId="254A5129" w14:textId="330CD8DD"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CODE</w:t>
      </w:r>
      <w:r>
        <w:rPr>
          <w:rFonts w:ascii="Courier New" w:eastAsia="Times New Roman" w:hAnsi="Courier New" w:cs="Courier New"/>
          <w:kern w:val="0"/>
          <w:sz w:val="20"/>
          <w:szCs w:val="20"/>
          <w:lang w:eastAsia="en-IN"/>
          <w14:ligatures w14:val="none"/>
        </w:rPr>
        <w:t xml:space="preserve">                                     </w:t>
      </w:r>
      <w:proofErr w:type="spellStart"/>
      <w:r w:rsidRPr="003B72AB">
        <w:rPr>
          <w:rFonts w:ascii="Courier New" w:eastAsia="Times New Roman" w:hAnsi="Courier New" w:cs="Courier New"/>
          <w:kern w:val="0"/>
          <w:sz w:val="20"/>
          <w:szCs w:val="20"/>
          <w:lang w:eastAsia="en-IN"/>
          <w14:ligatures w14:val="none"/>
        </w:rPr>
        <w:t>allergy_status</w:t>
      </w:r>
      <w:proofErr w:type="spellEnd"/>
    </w:p>
    <w:p w14:paraId="21DD9FB9" w14:textId="649AAA58"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SYSTEM</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code</w:t>
      </w:r>
    </w:p>
    <w:p w14:paraId="5340C721" w14:textId="6070AACB"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DESCRIPTION</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system</w:t>
      </w:r>
    </w:p>
    <w:p w14:paraId="77241720" w14:textId="523EB7AB"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TYPE</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description</w:t>
      </w:r>
    </w:p>
    <w:p w14:paraId="3E98142C" w14:textId="4553CB42"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CATEGORY</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type</w:t>
      </w:r>
    </w:p>
    <w:p w14:paraId="6B4AA50A" w14:textId="2FDCA4EF"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REACTION1</w:t>
      </w:r>
      <w:r>
        <w:rPr>
          <w:rFonts w:ascii="Courier New" w:eastAsia="Times New Roman" w:hAnsi="Courier New" w:cs="Courier New"/>
          <w:kern w:val="0"/>
          <w:sz w:val="20"/>
          <w:szCs w:val="20"/>
          <w:lang w:eastAsia="en-IN"/>
          <w14:ligatures w14:val="none"/>
        </w:rPr>
        <w:t xml:space="preserve">                                </w:t>
      </w:r>
      <w:r w:rsidRPr="003B72AB">
        <w:rPr>
          <w:rFonts w:ascii="Courier New" w:eastAsia="Times New Roman" w:hAnsi="Courier New" w:cs="Courier New"/>
          <w:kern w:val="0"/>
          <w:sz w:val="20"/>
          <w:szCs w:val="20"/>
          <w:lang w:eastAsia="en-IN"/>
          <w14:ligatures w14:val="none"/>
        </w:rPr>
        <w:t>category</w:t>
      </w:r>
    </w:p>
    <w:p w14:paraId="29AA4E4B" w14:textId="08FF662D"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DESCRIPTION1</w:t>
      </w:r>
      <w:r>
        <w:rPr>
          <w:rFonts w:ascii="Courier New" w:eastAsia="Times New Roman" w:hAnsi="Courier New" w:cs="Courier New"/>
          <w:kern w:val="0"/>
          <w:sz w:val="20"/>
          <w:szCs w:val="20"/>
          <w:lang w:eastAsia="en-IN"/>
          <w14:ligatures w14:val="none"/>
        </w:rPr>
        <w:t xml:space="preserve">                             </w:t>
      </w:r>
      <w:proofErr w:type="spellStart"/>
      <w:r w:rsidR="00D23481" w:rsidRPr="00D23481">
        <w:rPr>
          <w:rFonts w:ascii="Courier New" w:eastAsia="Times New Roman" w:hAnsi="Courier New" w:cs="Courier New"/>
          <w:kern w:val="0"/>
          <w:sz w:val="20"/>
          <w:szCs w:val="20"/>
          <w:lang w:eastAsia="en-IN"/>
          <w14:ligatures w14:val="none"/>
        </w:rPr>
        <w:t>description1</w:t>
      </w:r>
      <w:proofErr w:type="spellEnd"/>
    </w:p>
    <w:p w14:paraId="058A6F30" w14:textId="680A7854"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SEVERITY1</w:t>
      </w:r>
      <w:r w:rsidR="00D23481">
        <w:rPr>
          <w:rFonts w:ascii="Courier New" w:eastAsia="Times New Roman" w:hAnsi="Courier New" w:cs="Courier New"/>
          <w:kern w:val="0"/>
          <w:sz w:val="20"/>
          <w:szCs w:val="20"/>
          <w:lang w:eastAsia="en-IN"/>
          <w14:ligatures w14:val="none"/>
        </w:rPr>
        <w:t xml:space="preserve">                                </w:t>
      </w:r>
      <w:proofErr w:type="spellStart"/>
      <w:r w:rsidR="00D23481" w:rsidRPr="00D23481">
        <w:rPr>
          <w:rFonts w:ascii="Courier New" w:eastAsia="Times New Roman" w:hAnsi="Courier New" w:cs="Courier New"/>
          <w:kern w:val="0"/>
          <w:sz w:val="20"/>
          <w:szCs w:val="20"/>
          <w:lang w:eastAsia="en-IN"/>
          <w14:ligatures w14:val="none"/>
        </w:rPr>
        <w:t>severity1</w:t>
      </w:r>
      <w:proofErr w:type="spellEnd"/>
    </w:p>
    <w:p w14:paraId="2AD8330B" w14:textId="17528A42"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REACTION2</w:t>
      </w:r>
      <w:r w:rsidR="00D23481">
        <w:rPr>
          <w:rFonts w:ascii="Courier New" w:eastAsia="Times New Roman" w:hAnsi="Courier New" w:cs="Courier New"/>
          <w:kern w:val="0"/>
          <w:sz w:val="20"/>
          <w:szCs w:val="20"/>
          <w:lang w:eastAsia="en-IN"/>
          <w14:ligatures w14:val="none"/>
        </w:rPr>
        <w:t xml:space="preserve">                                </w:t>
      </w:r>
      <w:r w:rsidR="00D23481" w:rsidRPr="00D23481">
        <w:rPr>
          <w:rFonts w:ascii="Courier New" w:eastAsia="Times New Roman" w:hAnsi="Courier New" w:cs="Courier New"/>
          <w:kern w:val="0"/>
          <w:sz w:val="20"/>
          <w:szCs w:val="20"/>
          <w:lang w:eastAsia="en-IN"/>
          <w14:ligatures w14:val="none"/>
        </w:rPr>
        <w:t>description2</w:t>
      </w:r>
    </w:p>
    <w:p w14:paraId="432B0616" w14:textId="75B512EB"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DESCRIPTION2</w:t>
      </w:r>
      <w:r w:rsidR="00D23481">
        <w:rPr>
          <w:rFonts w:ascii="Courier New" w:eastAsia="Times New Roman" w:hAnsi="Courier New" w:cs="Courier New"/>
          <w:kern w:val="0"/>
          <w:sz w:val="20"/>
          <w:szCs w:val="20"/>
          <w:lang w:eastAsia="en-IN"/>
          <w14:ligatures w14:val="none"/>
        </w:rPr>
        <w:t xml:space="preserve">                             </w:t>
      </w:r>
      <w:r w:rsidR="00D23481" w:rsidRPr="00D23481">
        <w:rPr>
          <w:rFonts w:ascii="Courier New" w:eastAsia="Times New Roman" w:hAnsi="Courier New" w:cs="Courier New"/>
          <w:kern w:val="0"/>
          <w:sz w:val="20"/>
          <w:szCs w:val="20"/>
          <w:lang w:eastAsia="en-IN"/>
          <w14:ligatures w14:val="none"/>
        </w:rPr>
        <w:t>severity2</w:t>
      </w:r>
    </w:p>
    <w:p w14:paraId="649552B5" w14:textId="77777777" w:rsidR="003B72AB" w:rsidRPr="003B72AB" w:rsidRDefault="003B72AB" w:rsidP="003B7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72AB">
        <w:rPr>
          <w:rFonts w:ascii="Courier New" w:eastAsia="Times New Roman" w:hAnsi="Courier New" w:cs="Courier New"/>
          <w:kern w:val="0"/>
          <w:sz w:val="20"/>
          <w:szCs w:val="20"/>
          <w:lang w:eastAsia="en-IN"/>
          <w14:ligatures w14:val="none"/>
        </w:rPr>
        <w:t>SEVERITY2</w:t>
      </w:r>
    </w:p>
    <w:p w14:paraId="104223FC" w14:textId="77777777" w:rsidR="003B72AB" w:rsidRPr="003B72AB" w:rsidRDefault="003B72AB" w:rsidP="003B72AB">
      <w:pPr>
        <w:rPr>
          <w:sz w:val="30"/>
          <w:szCs w:val="30"/>
        </w:rPr>
      </w:pPr>
    </w:p>
    <w:p w14:paraId="39F023ED" w14:textId="25B02FC6" w:rsidR="003B72AB" w:rsidRPr="003B72AB" w:rsidRDefault="003B72AB" w:rsidP="003B72AB">
      <w:pPr>
        <w:pStyle w:val="ListParagraph"/>
        <w:ind w:left="1080"/>
        <w:rPr>
          <w:b/>
          <w:bCs/>
          <w:sz w:val="50"/>
          <w:szCs w:val="50"/>
        </w:rPr>
      </w:pPr>
      <w:r w:rsidRPr="003B72AB">
        <w:rPr>
          <w:b/>
          <w:bCs/>
          <w:sz w:val="50"/>
          <w:szCs w:val="50"/>
        </w:rPr>
        <w:t xml:space="preserve"> </w:t>
      </w:r>
      <w:r w:rsidRPr="003B72AB">
        <w:rPr>
          <w:b/>
          <w:bCs/>
          <w:sz w:val="50"/>
          <w:szCs w:val="50"/>
        </w:rPr>
        <w:br/>
      </w:r>
    </w:p>
    <w:p/>
    <w:p>
      <w:r>
        <w:rPr>
          <w:b/>
          <w:sz w:val="32"/>
        </w:rPr>
        <w:t>2) CarePlans</w:t>
      </w:r>
    </w:p>
    <w:p>
      <w:r>
        <w:rPr>
          <w:b/>
          <w:sz w:val="24"/>
        </w:rPr>
        <w:t>What is the CarePlans dataset?</w:t>
      </w:r>
    </w:p>
    <w:p>
      <w:pPr>
        <w:spacing w:after="80"/>
      </w:pPr>
      <w:r>
        <w:t>The CarePlans dataset tells us what type of healthcare plan was created for a patient and what condition or reason the plan was related to. For example, a patient may have a care plan for diabetes management, hypertension, respiratory therapy, physiotherapy, fracture care, or wound care. This is useful for our UC09 project because it helps us understand the care a patient has received or is currently receiving.</w:t>
      </w:r>
    </w:p>
    <w:p>
      <w:r>
        <w:rPr>
          <w:b/>
          <w:sz w:val="24"/>
        </w:rPr>
        <w:t>Dataset size</w:t>
      </w:r>
    </w:p>
    <w:p>
      <w:pPr>
        <w:spacing w:after="80"/>
      </w:pPr>
      <w:r>
        <w:t>The dataset contains 336 care-plan records for 97 patients.</w:t>
      </w:r>
    </w:p>
    <w:p>
      <w:r>
        <w:rPr>
          <w:b/>
          <w:sz w:val="24"/>
        </w:rPr>
        <w:t>Original columns and their meaning</w:t>
      </w:r>
    </w:p>
    <w:p>
      <w:pPr>
        <w:spacing w:after="80"/>
      </w:pPr>
      <w:r>
        <w:t>Id – unique ID of the care plan.</w:t>
      </w:r>
    </w:p>
    <w:p>
      <w:pPr>
        <w:spacing w:after="80"/>
      </w:pPr>
      <w:r>
        <w:t>START – date the care plan started.</w:t>
      </w:r>
    </w:p>
    <w:p>
      <w:pPr>
        <w:spacing w:after="80"/>
      </w:pPr>
      <w:r>
        <w:t>STOP – date the care plan ended, if available.</w:t>
      </w:r>
    </w:p>
    <w:p>
      <w:pPr>
        <w:spacing w:after="80"/>
      </w:pPr>
      <w:r>
        <w:t>PATIENT – ID of the patient.</w:t>
      </w:r>
    </w:p>
    <w:p>
      <w:pPr>
        <w:spacing w:after="80"/>
      </w:pPr>
      <w:r>
        <w:t>ENCOUNTER – healthcare visit connected to the care plan.</w:t>
      </w:r>
    </w:p>
    <w:p>
      <w:pPr>
        <w:spacing w:after="80"/>
      </w:pPr>
      <w:r>
        <w:t>CODE – medical code for the care plan.</w:t>
      </w:r>
    </w:p>
    <w:p>
      <w:pPr>
        <w:spacing w:after="80"/>
      </w:pPr>
      <w:r>
        <w:t>DESCRIPTION – name or type of the care plan.</w:t>
      </w:r>
    </w:p>
    <w:p>
      <w:pPr>
        <w:spacing w:after="80"/>
      </w:pPr>
      <w:r>
        <w:t>REASONCODE – medical code for why the care plan was created.</w:t>
      </w:r>
    </w:p>
    <w:p>
      <w:pPr>
        <w:spacing w:after="80"/>
      </w:pPr>
      <w:r>
        <w:t>REASONDESCRIPTION – simple description of the reason for the care plan.</w:t>
      </w:r>
    </w:p>
    <w:p>
      <w:r>
        <w:rPr>
          <w:b/>
          <w:sz w:val="24"/>
        </w:rPr>
        <w:t>What did we do during preprocessing?</w:t>
      </w:r>
    </w:p>
    <w:p>
      <w:pPr>
        <w:spacing w:after="80"/>
      </w:pPr>
      <w:r>
        <w:t>We did not remove any of the original 9 columns because they can be useful later when connecting CarePlans with patients, conditions, and encounters.</w:t>
      </w:r>
    </w:p>
    <w:p>
      <w:r>
        <w:rPr>
          <w:b/>
          <w:sz w:val="24"/>
        </w:rPr>
        <w:t>1. Standardized column names</w:t>
      </w:r>
    </w:p>
    <w:p>
      <w:pPr>
        <w:spacing w:after="80"/>
      </w:pPr>
      <w:r>
        <w:t>Changed names such as Id, START, STOP and PATIENT into lowercase names such as id, start, stop and patient. This makes the columns easier to use in Python and PostgreSQL.</w:t>
      </w:r>
    </w:p>
    <w:p>
      <w:r>
        <w:rPr>
          <w:b/>
          <w:sz w:val="24"/>
        </w:rPr>
        <w:t>2. Converted dates</w:t>
      </w:r>
    </w:p>
    <w:p>
      <w:pPr>
        <w:spacing w:after="80"/>
      </w:pPr>
      <w:r>
        <w:t>Converted START and STOP into proper date format. This allows us to calculate dates and care-plan duration later if needed.</w:t>
      </w:r>
    </w:p>
    <w:p>
      <w:r>
        <w:rPr>
          <w:b/>
          <w:sz w:val="24"/>
        </w:rPr>
        <w:t>3. Cleaned IDs and text</w:t>
      </w:r>
    </w:p>
    <w:p>
      <w:pPr>
        <w:spacing w:after="80"/>
      </w:pPr>
      <w:r>
        <w:t>Removed unnecessary spaces from IDs and text values and kept IDs and medical codes as text. This is important when joining different datasets.</w:t>
      </w:r>
    </w:p>
    <w:p>
      <w:r>
        <w:rPr>
          <w:b/>
          <w:sz w:val="24"/>
        </w:rPr>
        <w:t>4. Checked duplicate records</w:t>
      </w:r>
    </w:p>
    <w:p>
      <w:pPr>
        <w:spacing w:after="80"/>
      </w:pPr>
      <w:r>
        <w:t>We checked for exact duplicate rows. There were 0 duplicate rows, so no records were removed.</w:t>
      </w:r>
    </w:p>
    <w:p>
      <w:r>
        <w:rPr>
          <w:b/>
          <w:sz w:val="24"/>
        </w:rPr>
        <w:t>5. Added careplan_status</w:t>
      </w:r>
    </w:p>
    <w:p>
      <w:pPr>
        <w:spacing w:after="80"/>
      </w:pPr>
      <w:r>
        <w:t>We created a new column called careplan_status. If STOP is empty, the care plan is marked as active. If STOP has a date, it is marked as completed. The dataset contains 159 active care plans and 177 completed care plans.</w:t>
      </w:r>
    </w:p>
    <w:p>
      <w:r>
        <w:rPr>
          <w:b/>
          <w:sz w:val="24"/>
        </w:rPr>
        <w:t>Original vs Processed</w:t>
      </w:r>
    </w:p>
    <w:p>
      <w:pPr>
        <w:spacing w:after="80"/>
      </w:pPr>
      <w:r>
        <w:t>Original:</w:t>
      </w:r>
    </w:p>
    <w:p>
      <w:pPr>
        <w:spacing w:after="80"/>
      </w:pPr>
      <w:r>
        <w:t>Id, START, STOP, PATIENT, ENCOUNTER, CODE, DESCRIPTION, REASONCODE, REASONDESCRIPTION</w:t>
      </w:r>
    </w:p>
    <w:p>
      <w:pPr>
        <w:spacing w:after="80"/>
      </w:pPr>
    </w:p>
    <w:p>
      <w:pPr>
        <w:spacing w:after="80"/>
      </w:pPr>
      <w:r>
        <w:t>Processed:</w:t>
      </w:r>
    </w:p>
    <w:p>
      <w:pPr>
        <w:spacing w:after="80"/>
      </w:pPr>
      <w:r>
        <w:t>id, patient, encounter, start, stop, code, description, reasoncode, reasondescription, careplan_status</w:t>
      </w:r>
    </w:p>
    <w:p>
      <w:pPr>
        <w:spacing w:after="80"/>
      </w:pPr>
    </w:p>
    <w:p>
      <w:pPr>
        <w:spacing w:after="80"/>
      </w:pPr>
      <w:r>
        <w:t>Original = 9 columns. Processed = 10 columns. We kept all original columns and added careplan_status.</w:t>
      </w:r>
    </w:p>
    <w:p>
      <w:r>
        <w:rPr>
          <w:b/>
          <w:sz w:val="24"/>
        </w:rPr>
        <w:t>Why is CarePlans important for UC09?</w:t>
      </w:r>
    </w:p>
    <w:p>
      <w:pPr>
        <w:spacing w:after="80"/>
      </w:pPr>
      <w:r>
        <w:t>CarePlans helps us understand a patient's care history and current care needs. Later, this information can be combined with allergies, conditions, medications, encounters, observations, SDOH data, and geographic data to build the patient's overall health profile and support risk prioritization.</w:t>
      </w:r>
    </w:p>
    <w:p>
      <w:r>
        <w:rPr>
          <w:b/>
          <w:sz w:val="24"/>
        </w:rPr>
        <w:t>Important columns for later analysis</w:t>
      </w:r>
    </w:p>
    <w:p>
      <w:pPr>
        <w:spacing w:after="80"/>
      </w:pPr>
      <w:r>
        <w:t>patient, start, stop, description, reasoncode, reasondescription, and careplan_status are the most directly useful for understanding care needs. The id, encounter, and code fields are retained because they can help with dataset integration even if they are not directly used in the risk score.</w:t>
      </w:r>
    </w:p>
    <w:p>
      <w:r>
        <w:rPr>
          <w:b/>
          <w:sz w:val="32"/>
        </w:rPr>
        <w:t>3) Claims</w:t>
      </w:r>
    </w:p>
    <w:p>
      <w:r>
        <w:rPr>
          <w:b/>
          <w:sz w:val="24"/>
        </w:rPr>
        <w:t>What is the Claims dataset?</w:t>
      </w:r>
    </w:p>
    <w:p>
      <w:pPr>
        <w:spacing w:after="80"/>
      </w:pPr>
      <w:r>
        <w:t>The Claims dataset contains information about healthcare services that were billed or claimed for a patient. In simple terms, it helps us understand that a patient received healthcare services and gives information about the patient, provider, department, diagnoses, service dates, claim status, and billing details. This is useful for UC09 because claims can help us understand healthcare utilization.</w:t>
      </w:r>
    </w:p>
    <w:p>
      <w:r>
        <w:rPr>
          <w:b/>
          <w:sz w:val="24"/>
        </w:rPr>
        <w:t>Dataset size</w:t>
      </w:r>
    </w:p>
    <w:p>
      <w:pPr>
        <w:spacing w:after="80"/>
      </w:pPr>
      <w:r>
        <w:t>The dataset contains 9,995 claim records and 108 unique patients.</w:t>
      </w:r>
    </w:p>
    <w:p>
      <w:r>
        <w:rPr>
          <w:b/>
          <w:sz w:val="24"/>
        </w:rPr>
        <w:t>Original columns and their meaning</w:t>
      </w:r>
    </w:p>
    <w:p>
      <w:pPr>
        <w:spacing w:after="80"/>
      </w:pPr>
      <w:r>
        <w:t>Id – unique ID of the claim.</w:t>
      </w:r>
    </w:p>
    <w:p>
      <w:pPr>
        <w:spacing w:after="80"/>
      </w:pPr>
      <w:r>
        <w:t>PATIENTID – ID of the patient.</w:t>
      </w:r>
    </w:p>
    <w:p>
      <w:pPr>
        <w:spacing w:after="80"/>
      </w:pPr>
      <w:r>
        <w:t>PROVIDERID – ID of the healthcare provider.</w:t>
      </w:r>
    </w:p>
    <w:p>
      <w:pPr>
        <w:spacing w:after="80"/>
      </w:pPr>
      <w:r>
        <w:t>PRIMARYPATIENTINSURANCEID – patient's primary insurance ID.</w:t>
      </w:r>
    </w:p>
    <w:p>
      <w:pPr>
        <w:spacing w:after="80"/>
      </w:pPr>
      <w:r>
        <w:t>SECONDARYPATIENTINSURANCEID – patient's secondary insurance ID.</w:t>
      </w:r>
    </w:p>
    <w:p>
      <w:pPr>
        <w:spacing w:after="80"/>
      </w:pPr>
      <w:r>
        <w:t>DEPARTMENTID – department associated with the claim.</w:t>
      </w:r>
    </w:p>
    <w:p>
      <w:pPr>
        <w:spacing w:after="80"/>
      </w:pPr>
      <w:r>
        <w:t>PATIENTDEPARTMENTID – department where the patient received care.</w:t>
      </w:r>
    </w:p>
    <w:p>
      <w:pPr>
        <w:spacing w:after="80"/>
      </w:pPr>
      <w:r>
        <w:t>DIAGNOSIS1 to DIAGNOSIS8 – diagnosis codes associated with the claim.</w:t>
      </w:r>
    </w:p>
    <w:p>
      <w:pPr>
        <w:spacing w:after="80"/>
      </w:pPr>
      <w:r>
        <w:t>REFERRINGPROVIDERID – provider who referred the patient.</w:t>
      </w:r>
    </w:p>
    <w:p>
      <w:pPr>
        <w:spacing w:after="80"/>
      </w:pPr>
      <w:r>
        <w:t>APPOINTMENTID – appointment related to the claim.</w:t>
      </w:r>
    </w:p>
    <w:p>
      <w:pPr>
        <w:spacing w:after="80"/>
      </w:pPr>
      <w:r>
        <w:t>CURRENTILLNESSDATE – date the current illness started.</w:t>
      </w:r>
    </w:p>
    <w:p>
      <w:pPr>
        <w:spacing w:after="80"/>
      </w:pPr>
      <w:r>
        <w:t>SERVICEDATE – date the healthcare service was provided.</w:t>
      </w:r>
    </w:p>
    <w:p>
      <w:pPr>
        <w:spacing w:after="80"/>
      </w:pPr>
      <w:r>
        <w:t>SUPERVISINGPROVIDERID – provider supervising the service.</w:t>
      </w:r>
    </w:p>
    <w:p>
      <w:pPr>
        <w:spacing w:after="80"/>
      </w:pPr>
      <w:r>
        <w:t>STATUS1, STATUS2, STATUSP – claim/billing status fields.</w:t>
      </w:r>
    </w:p>
    <w:p>
      <w:pPr>
        <w:spacing w:after="80"/>
      </w:pPr>
      <w:r>
        <w:t>OUTSTANDING1, OUTSTANDING2, OUTSTANDINGP – outstanding billing amounts.</w:t>
      </w:r>
    </w:p>
    <w:p>
      <w:pPr>
        <w:spacing w:after="80"/>
      </w:pPr>
      <w:r>
        <w:t>LASTBILLEDDATE1, LASTBILLEDDATE2, LASTBILLEDDATEP – latest billing dates.</w:t>
      </w:r>
    </w:p>
    <w:p>
      <w:pPr>
        <w:spacing w:after="80"/>
      </w:pPr>
      <w:r>
        <w:t>HEALTHCARECLAIMTYPEID1 and HEALTHCARECLAIMTYPEID2 – healthcare claim type identifiers.</w:t>
      </w:r>
    </w:p>
    <w:p>
      <w:r>
        <w:rPr>
          <w:b/>
          <w:sz w:val="24"/>
        </w:rPr>
        <w:t>Why is Claims useful for UC09?</w:t>
      </w:r>
    </w:p>
    <w:p>
      <w:pPr>
        <w:spacing w:after="80"/>
      </w:pPr>
      <w:r>
        <w:t>Claims can help us measure healthcare utilization. For example, repeated claims can indicate that a patient is frequently using healthcare services. Claim diagnoses can also help us understand the patient's health needs. We can later combine this information with other clinical, SDOH, and geographic information to prioritize members for intervention.</w:t>
      </w:r>
    </w:p>
    <w:p>
      <w:r>
        <w:rPr>
          <w:b/>
          <w:sz w:val="24"/>
        </w:rPr>
        <w:t>What did we do during preprocessing?</w:t>
      </w:r>
    </w:p>
    <w:p>
      <w:pPr>
        <w:spacing w:after="80"/>
      </w:pPr>
      <w:r>
        <w:t>We standardized column names, converted date fields into proper date format, cleaned IDs and text fields, converted outstanding billing amounts to numeric values, and checked for exact duplicate records. There were no exact duplicate rows, so no records were removed.</w:t>
      </w:r>
    </w:p>
    <w:p>
      <w:r>
        <w:rPr>
          <w:b/>
          <w:sz w:val="24"/>
        </w:rPr>
        <w:t>Why did we create diagnosis_count?</w:t>
      </w:r>
    </w:p>
    <w:p>
      <w:pPr>
        <w:spacing w:after="80"/>
      </w:pPr>
      <w:r>
        <w:t>A claim can contain up to eight diagnosis fields. Instead of treating all eight diagnosis columns as separate risk features, we created diagnosis_count to show how many diagnosis entries are present for each claim. This gives us a simple utilization/clinical-complexity feature while keeping the original diagnosis columns for traceability and later analysis.</w:t>
      </w:r>
    </w:p>
    <w:p>
      <w:r>
        <w:rPr>
          <w:b/>
          <w:sz w:val="24"/>
        </w:rPr>
        <w:t>Columns we keep for analysis</w:t>
      </w:r>
    </w:p>
    <w:p>
      <w:pPr>
        <w:spacing w:after="80"/>
      </w:pPr>
      <w:r>
        <w:t>We keep patientid so every claim can be connected to the correct patient. We retain service and illness dates, provider/department and appointment identifiers, claim status, outstanding amounts, billing dates, claim type identifiers, and diagnosis information because these may help us understand healthcare utilization and patient needs.</w:t>
      </w:r>
    </w:p>
    <w:p>
      <w:r>
        <w:rPr>
          <w:b/>
          <w:sz w:val="24"/>
        </w:rPr>
        <w:t>Important note about the risk model</w:t>
      </w:r>
    </w:p>
    <w:p>
      <w:pPr>
        <w:spacing w:after="80"/>
      </w:pPr>
      <w:r>
        <w:t>We should not treat a claim by itself as proof that a patient is high-risk. Claims are one source of information. Later, we will combine claims with other clinical data, SDOH information, and geographic information before calculating the overall member risk.</w:t>
      </w:r>
    </w:p>
    <w:p>
      <w:r>
        <w:rPr>
          <w:b/>
          <w:sz w:val="24"/>
        </w:rPr>
        <w:t>Original vs Processed</w:t>
      </w:r>
    </w:p>
    <w:p>
      <w:pPr>
        <w:spacing w:after="80"/>
      </w:pPr>
      <w:r>
        <w:t>Original = 31 columns. Processed = cleaned analytical columns plus diagnosis_count. We standardized the original fields and added diagnosis_count. We did not overwrite the original dataset.</w:t>
      </w:r>
    </w:p>
    <w:p>
      <w:r>
        <w:rPr>
          <w:b/>
          <w:sz w:val="32"/>
        </w:rPr>
        <w:t>4) Medications</w:t>
      </w:r>
    </w:p>
    <w:p>
      <w:pPr>
        <w:spacing w:after="160"/>
      </w:pPr>
      <w:r>
        <w:t>The Medications dataset records medicines prescribed or given to patients. It includes the patient, medication, dates, payer, cost, number of dispenses, and the reason for the medication. We standardized column names, converted START and STOP to dates, cleaned IDs and text, converted cost/coverage/dispense fields to numeric values, checked duplicates, and added medication_status and duration_days. Medication status is active when STOP is missing and completed when STOP has a date. This helps us understand ongoing treatment and medication burden.</w:t>
      </w:r>
    </w:p>
    <w:p>
      <w:r>
        <w:rPr>
          <w:b/>
          <w:sz w:val="32"/>
        </w:rPr>
        <w:t>5) Conditions</w:t>
      </w:r>
    </w:p>
    <w:p>
      <w:pPr>
        <w:spacing w:after="160"/>
      </w:pPr>
      <w:r>
        <w:t>The Conditions dataset records medical conditions associated with patients. It contains start and stop dates, patient and encounter IDs, coding information, and the condition description. We standardized names, converted dates, cleaned IDs/text, checked duplicates, and added condition_status and duration_days. An empty STOP is treated as active and a STOP date as resolved. Conditions are important because they describe the member's clinical health profile.</w:t>
      </w:r>
    </w:p>
    <w:p>
      <w:r>
        <w:rPr>
          <w:b/>
          <w:sz w:val="32"/>
        </w:rPr>
        <w:t>6) Encounters</w:t>
      </w:r>
    </w:p>
    <w:p>
      <w:pPr>
        <w:spacing w:after="160"/>
      </w:pPr>
      <w:r>
        <w:t>The Encounters dataset records healthcare visits or interactions. It contains the patient, organization, provider, payer, encounter type, dates, costs, and reason. We standardized names, converted dates, cleaned identifiers/text, converted cost fields to numeric values, checked duplicates, and added duration_hours. Encounters are important for measuring healthcare utilization, such as how often and how long a member uses healthcare services.</w:t>
      </w:r>
    </w:p>
    <w:p>
      <w:r>
        <w:rPr>
          <w:b/>
          <w:sz w:val="32"/>
        </w:rPr>
        <w:t>7) Immunizations</w:t>
      </w:r>
    </w:p>
    <w:p>
      <w:pPr>
        <w:spacing w:after="160"/>
      </w:pPr>
      <w:r>
        <w:t>The Immunizations dataset records vaccinations given to patients. It contains the date, patient, encounter, vaccine code, description, and cost. We standardized names, converted the date, cleaned IDs and descriptions, converted cost to numeric form, and checked duplicates. This provides useful preventive-care information for the member health profile.</w:t>
      </w:r>
    </w:p>
    <w:p>
      <w:r>
        <w:rPr>
          <w:b/>
          <w:sz w:val="32"/>
        </w:rPr>
        <w:t>8) Observations</w:t>
      </w:r>
    </w:p>
    <w:p>
      <w:pPr>
        <w:spacing w:after="160"/>
      </w:pPr>
      <w:r>
        <w:t>The Observations dataset contains measured or recorded health observations such as clinical measurements and other patient values. We standardized names, converted dates, cleaned IDs and text, preserved the original value as text, and created value_numeric when the value can be converted to a number. This allows numerical measurements to be analyzed while preserving non-numeric observations.</w:t>
      </w:r>
    </w:p>
    <w:p>
      <w:r>
        <w:rPr>
          <w:b/>
          <w:sz w:val="32"/>
        </w:rPr>
        <w:t>9) Organizations</w:t>
      </w:r>
    </w:p>
    <w:p>
      <w:pPr>
        <w:spacing w:after="160"/>
      </w:pPr>
      <w:r>
        <w:t>The Organizations dataset describes healthcare organizations and their locations. It contains organization identity, address/location, phone, revenue, and utilization. We standardized names, cleaned IDs and text, converted location and numeric fields, and retained useful geographic fields such as ZIP, latitude, and longitude. The geographic fields can support GIS analysis and provider/facility context.</w:t>
      </w:r>
    </w:p>
    <w:p>
      <w:r>
        <w:rPr>
          <w:b/>
          <w:sz w:val="32"/>
        </w:rPr>
        <w:t>10) Patients</w:t>
      </w:r>
    </w:p>
    <w:p>
      <w:pPr>
        <w:spacing w:after="160"/>
      </w:pPr>
      <w:r>
        <w:t>The Patients dataset is the central member dataset. It contains demographic, geographic, and healthcare-economic information such as birth date, gender, race/ethnicity, location, ZIP, FIPS, latitude/longitude, healthcare expenses, coverage, and income. We standardized names, converted dates and numeric fields, cleaned identifiers, and removed direct personal identifiers such as SSN, passport, names, and exact address from the analytical dataset. We retained ZIP/FIPS and coordinates because geographic information is important for connecting members with SDOH data.</w:t>
      </w:r>
    </w:p>
    <w:p>
      <w:r>
        <w:rPr>
          <w:b/>
          <w:sz w:val="32"/>
        </w:rPr>
        <w:t>11) Payer Transitions</w:t>
      </w:r>
    </w:p>
    <w:p>
      <w:pPr>
        <w:spacing w:after="160"/>
      </w:pPr>
      <w:r>
        <w:t>The Payer Transitions dataset records changes in a patient's insurance/payer coverage over time. It contains the patient/member ID, payer information, start/end dates, plan ownership, and owner. We standardized names, converted dates, cleaned IDs/text, checked duplicates, and added transition_duration_days. This can help us understand changes in coverage that may affect continuity of care.</w:t>
      </w:r>
    </w:p>
    <w:p>
      <w:r>
        <w:rPr>
          <w:b/>
          <w:sz w:val="32"/>
        </w:rPr>
        <w:t>12) Payers</w:t>
      </w:r>
    </w:p>
    <w:p>
      <w:pPr>
        <w:spacing w:after="160"/>
      </w:pPr>
      <w:r>
        <w:t>The Payers dataset describes insurance organizations and their overall coverage, costs, utilization, and quality measures. We standardized names, cleaned IDs/text, converted financial and utilization fields to numeric values, and checked duplicates. It provides payer-level context rather than direct patient-level clinical risk.</w:t>
      </w:r>
    </w:p>
    <w:p>
      <w:r>
        <w:rPr>
          <w:b/>
          <w:sz w:val="32"/>
        </w:rPr>
        <w:t>13) Providers</w:t>
      </w:r>
    </w:p>
    <w:p>
      <w:pPr>
        <w:spacing w:after="160"/>
      </w:pPr>
      <w:r>
        <w:t>The Providers dataset contains information about healthcare providers, their organizations, specialties, locations, and activity. We standardized names, cleaned identifiers/text, converted location and activity fields, and retained specialty, organization, ZIP, latitude, longitude, encounters, and procedures. This can support provider context and geographic healthcare-access analysis.</w:t>
      </w:r>
    </w:p>
    <w:p>
      <w:r>
        <w:rPr>
          <w:b/>
          <w:sz w:val="32"/>
        </w:rPr>
        <w:t>14) Supplies</w:t>
      </w:r>
    </w:p>
    <w:p>
      <w:pPr>
        <w:spacing w:after="160"/>
      </w:pPr>
      <w:r>
        <w:t>The Supplies dataset records supplies used or provided during patient encounters. It contains the date, patient, encounter, supply code, description, and quantity. We standardized names, converted dates, cleaned IDs/text, converted quantity to numeric form, and checked duplicates. Supply usage can provide additional context about healthcare services received.</w:t>
      </w:r>
    </w:p>
    <w:p>
      <w:r>
        <w:rPr>
          <w:b/>
          <w:sz w:val="28"/>
        </w:rPr>
        <w:t>Dataset Preprocessing Summary</w:t>
      </w:r>
    </w:p>
    <w:tbl>
      <w:tblPr>
        <w:tblW w:type="auto" w:w="0"/>
        <w:tblLook w:firstColumn="1" w:firstRow="1" w:lastColumn="0" w:lastRow="0" w:noHBand="0" w:noVBand="1" w:val="04A0"/>
      </w:tblPr>
      <w:tblGrid>
        <w:gridCol w:w="1504"/>
        <w:gridCol w:w="1504"/>
        <w:gridCol w:w="1504"/>
        <w:gridCol w:w="1504"/>
        <w:gridCol w:w="1504"/>
        <w:gridCol w:w="1504"/>
      </w:tblGrid>
      <w:tr>
        <w:tc>
          <w:tcPr>
            <w:tcW w:type="dxa" w:w="1504"/>
          </w:tcPr>
          <w:p>
            <w:r>
              <w:t>Dataset</w:t>
            </w:r>
          </w:p>
        </w:tc>
        <w:tc>
          <w:tcPr>
            <w:tcW w:type="dxa" w:w="1504"/>
          </w:tcPr>
          <w:p>
            <w:r>
              <w:t>Original</w:t>
            </w:r>
          </w:p>
        </w:tc>
        <w:tc>
          <w:tcPr>
            <w:tcW w:type="dxa" w:w="1504"/>
          </w:tcPr>
          <w:p>
            <w:r>
              <w:t>Processed</w:t>
            </w:r>
          </w:p>
        </w:tc>
        <w:tc>
          <w:tcPr>
            <w:tcW w:type="dxa" w:w="1504"/>
          </w:tcPr>
          <w:p>
            <w:r>
              <w:t>Duplicates Removed</w:t>
            </w:r>
          </w:p>
        </w:tc>
        <w:tc>
          <w:tcPr>
            <w:tcW w:type="dxa" w:w="1504"/>
          </w:tcPr>
          <w:p>
            <w:r>
              <w:t>Unique Patients</w:t>
            </w:r>
          </w:p>
        </w:tc>
        <w:tc>
          <w:tcPr>
            <w:tcW w:type="dxa" w:w="1504"/>
          </w:tcPr>
          <w:p>
            <w:r>
              <w:t>Main UC09 Use</w:t>
            </w:r>
          </w:p>
        </w:tc>
      </w:tr>
      <w:tr>
        <w:tc>
          <w:tcPr>
            <w:tcW w:type="dxa" w:w="1504"/>
          </w:tcPr>
          <w:p>
            <w:r>
              <w:t>medications</w:t>
            </w:r>
          </w:p>
        </w:tc>
        <w:tc>
          <w:tcPr>
            <w:tcW w:type="dxa" w:w="1504"/>
          </w:tcPr>
          <w:p>
            <w:r>
              <w:t>4522 / 13</w:t>
            </w:r>
          </w:p>
        </w:tc>
        <w:tc>
          <w:tcPr>
            <w:tcW w:type="dxa" w:w="1504"/>
          </w:tcPr>
          <w:p>
            <w:r>
              <w:t>4522 / 15</w:t>
            </w:r>
          </w:p>
        </w:tc>
        <w:tc>
          <w:tcPr>
            <w:tcW w:type="dxa" w:w="1504"/>
          </w:tcPr>
          <w:p>
            <w:r>
              <w:t>0</w:t>
            </w:r>
          </w:p>
        </w:tc>
        <w:tc>
          <w:tcPr>
            <w:tcW w:type="dxa" w:w="1504"/>
          </w:tcPr>
          <w:p>
            <w:r>
              <w:t>105</w:t>
            </w:r>
          </w:p>
        </w:tc>
        <w:tc>
          <w:tcPr>
            <w:tcW w:type="dxa" w:w="1504"/>
          </w:tcPr>
          <w:p>
            <w:r>
              <w:t>Treatment/medication burden</w:t>
            </w:r>
          </w:p>
        </w:tc>
      </w:tr>
      <w:tr>
        <w:tc>
          <w:tcPr>
            <w:tcW w:type="dxa" w:w="1504"/>
          </w:tcPr>
          <w:p>
            <w:r>
              <w:t>conditions</w:t>
            </w:r>
          </w:p>
        </w:tc>
        <w:tc>
          <w:tcPr>
            <w:tcW w:type="dxa" w:w="1504"/>
          </w:tcPr>
          <w:p>
            <w:r>
              <w:t>3784 / 7</w:t>
            </w:r>
          </w:p>
        </w:tc>
        <w:tc>
          <w:tcPr>
            <w:tcW w:type="dxa" w:w="1504"/>
          </w:tcPr>
          <w:p>
            <w:r>
              <w:t>3784 / 9</w:t>
            </w:r>
          </w:p>
        </w:tc>
        <w:tc>
          <w:tcPr>
            <w:tcW w:type="dxa" w:w="1504"/>
          </w:tcPr>
          <w:p>
            <w:r>
              <w:t>0</w:t>
            </w:r>
          </w:p>
        </w:tc>
        <w:tc>
          <w:tcPr>
            <w:tcW w:type="dxa" w:w="1504"/>
          </w:tcPr>
          <w:p>
            <w:r>
              <w:t>108</w:t>
            </w:r>
          </w:p>
        </w:tc>
        <w:tc>
          <w:tcPr>
            <w:tcW w:type="dxa" w:w="1504"/>
          </w:tcPr>
          <w:p>
            <w:r>
              <w:t>Clinical conditions</w:t>
            </w:r>
          </w:p>
        </w:tc>
      </w:tr>
      <w:tr>
        <w:tc>
          <w:tcPr>
            <w:tcW w:type="dxa" w:w="1504"/>
          </w:tcPr>
          <w:p>
            <w:r>
              <w:t>encounters</w:t>
            </w:r>
          </w:p>
        </w:tc>
        <w:tc>
          <w:tcPr>
            <w:tcW w:type="dxa" w:w="1504"/>
          </w:tcPr>
          <w:p>
            <w:r>
              <w:t>5473 / 15</w:t>
            </w:r>
          </w:p>
        </w:tc>
        <w:tc>
          <w:tcPr>
            <w:tcW w:type="dxa" w:w="1504"/>
          </w:tcPr>
          <w:p>
            <w:r>
              <w:t>5473 / 16</w:t>
            </w:r>
          </w:p>
        </w:tc>
        <w:tc>
          <w:tcPr>
            <w:tcW w:type="dxa" w:w="1504"/>
          </w:tcPr>
          <w:p>
            <w:r>
              <w:t>0</w:t>
            </w:r>
          </w:p>
        </w:tc>
        <w:tc>
          <w:tcPr>
            <w:tcW w:type="dxa" w:w="1504"/>
          </w:tcPr>
          <w:p>
            <w:r>
              <w:t>108</w:t>
            </w:r>
          </w:p>
        </w:tc>
        <w:tc>
          <w:tcPr>
            <w:tcW w:type="dxa" w:w="1504"/>
          </w:tcPr>
          <w:p>
            <w:r>
              <w:t>Healthcare utilization</w:t>
            </w:r>
          </w:p>
        </w:tc>
      </w:tr>
      <w:tr>
        <w:tc>
          <w:tcPr>
            <w:tcW w:type="dxa" w:w="1504"/>
          </w:tcPr>
          <w:p>
            <w:r>
              <w:t>immunizations</w:t>
            </w:r>
          </w:p>
        </w:tc>
        <w:tc>
          <w:tcPr>
            <w:tcW w:type="dxa" w:w="1504"/>
          </w:tcPr>
          <w:p>
            <w:r>
              <w:t>1731 / 6</w:t>
            </w:r>
          </w:p>
        </w:tc>
        <w:tc>
          <w:tcPr>
            <w:tcW w:type="dxa" w:w="1504"/>
          </w:tcPr>
          <w:p>
            <w:r>
              <w:t>1731 / 6</w:t>
            </w:r>
          </w:p>
        </w:tc>
        <w:tc>
          <w:tcPr>
            <w:tcW w:type="dxa" w:w="1504"/>
          </w:tcPr>
          <w:p>
            <w:r>
              <w:t>0</w:t>
            </w:r>
          </w:p>
        </w:tc>
        <w:tc>
          <w:tcPr>
            <w:tcW w:type="dxa" w:w="1504"/>
          </w:tcPr>
          <w:p>
            <w:r>
              <w:t>108</w:t>
            </w:r>
          </w:p>
        </w:tc>
        <w:tc>
          <w:tcPr>
            <w:tcW w:type="dxa" w:w="1504"/>
          </w:tcPr>
          <w:p>
            <w:r>
              <w:t>Preventive care</w:t>
            </w:r>
          </w:p>
        </w:tc>
      </w:tr>
      <w:tr>
        <w:tc>
          <w:tcPr>
            <w:tcW w:type="dxa" w:w="1504"/>
          </w:tcPr>
          <w:p>
            <w:r>
              <w:t>observations</w:t>
            </w:r>
          </w:p>
        </w:tc>
        <w:tc>
          <w:tcPr>
            <w:tcW w:type="dxa" w:w="1504"/>
          </w:tcPr>
          <w:p>
            <w:r>
              <w:t>75343 / 9</w:t>
            </w:r>
          </w:p>
        </w:tc>
        <w:tc>
          <w:tcPr>
            <w:tcW w:type="dxa" w:w="1504"/>
          </w:tcPr>
          <w:p>
            <w:r>
              <w:t>75329 / 10</w:t>
            </w:r>
          </w:p>
        </w:tc>
        <w:tc>
          <w:tcPr>
            <w:tcW w:type="dxa" w:w="1504"/>
          </w:tcPr>
          <w:p>
            <w:r>
              <w:t>14</w:t>
            </w:r>
          </w:p>
        </w:tc>
        <w:tc>
          <w:tcPr>
            <w:tcW w:type="dxa" w:w="1504"/>
          </w:tcPr>
          <w:p>
            <w:r>
              <w:t>108</w:t>
            </w:r>
          </w:p>
        </w:tc>
        <w:tc>
          <w:tcPr>
            <w:tcW w:type="dxa" w:w="1504"/>
          </w:tcPr>
          <w:p>
            <w:r>
              <w:t>Clinical measurements</w:t>
            </w:r>
          </w:p>
        </w:tc>
      </w:tr>
      <w:tr>
        <w:tc>
          <w:tcPr>
            <w:tcW w:type="dxa" w:w="1504"/>
          </w:tcPr>
          <w:p>
            <w:r>
              <w:t>organizations</w:t>
            </w:r>
          </w:p>
        </w:tc>
        <w:tc>
          <w:tcPr>
            <w:tcW w:type="dxa" w:w="1504"/>
          </w:tcPr>
          <w:p>
            <w:r>
              <w:t>278 / 11</w:t>
            </w:r>
          </w:p>
        </w:tc>
        <w:tc>
          <w:tcPr>
            <w:tcW w:type="dxa" w:w="1504"/>
          </w:tcPr>
          <w:p>
            <w:r>
              <w:t>278 / 9</w:t>
            </w:r>
          </w:p>
        </w:tc>
        <w:tc>
          <w:tcPr>
            <w:tcW w:type="dxa" w:w="1504"/>
          </w:tcPr>
          <w:p>
            <w:r>
              <w:t>0</w:t>
            </w:r>
          </w:p>
        </w:tc>
        <w:tc>
          <w:tcPr>
            <w:tcW w:type="dxa" w:w="1504"/>
          </w:tcPr>
          <w:p>
            <w:r>
              <w:t>None</w:t>
            </w:r>
          </w:p>
        </w:tc>
        <w:tc>
          <w:tcPr>
            <w:tcW w:type="dxa" w:w="1504"/>
          </w:tcPr>
          <w:p>
            <w:r>
              <w:t>Healthcare facility + GIS</w:t>
            </w:r>
          </w:p>
        </w:tc>
      </w:tr>
      <w:tr>
        <w:tc>
          <w:tcPr>
            <w:tcW w:type="dxa" w:w="1504"/>
          </w:tcPr>
          <w:p>
            <w:r>
              <w:t>patients</w:t>
            </w:r>
          </w:p>
        </w:tc>
        <w:tc>
          <w:tcPr>
            <w:tcW w:type="dxa" w:w="1504"/>
          </w:tcPr>
          <w:p>
            <w:r>
              <w:t>108 / 28</w:t>
            </w:r>
          </w:p>
        </w:tc>
        <w:tc>
          <w:tcPr>
            <w:tcW w:type="dxa" w:w="1504"/>
          </w:tcPr>
          <w:p>
            <w:r>
              <w:t>108 / 18</w:t>
            </w:r>
          </w:p>
        </w:tc>
        <w:tc>
          <w:tcPr>
            <w:tcW w:type="dxa" w:w="1504"/>
          </w:tcPr>
          <w:p>
            <w:r>
              <w:t>0</w:t>
            </w:r>
          </w:p>
        </w:tc>
        <w:tc>
          <w:tcPr>
            <w:tcW w:type="dxa" w:w="1504"/>
          </w:tcPr>
          <w:p>
            <w:r>
              <w:t>None</w:t>
            </w:r>
          </w:p>
        </w:tc>
        <w:tc>
          <w:tcPr>
            <w:tcW w:type="dxa" w:w="1504"/>
          </w:tcPr>
          <w:p>
            <w:r>
              <w:t>Member + geography</w:t>
            </w:r>
          </w:p>
        </w:tc>
      </w:tr>
      <w:tr>
        <w:tc>
          <w:tcPr>
            <w:tcW w:type="dxa" w:w="1504"/>
          </w:tcPr>
          <w:p>
            <w:r>
              <w:t>payer_transitions</w:t>
            </w:r>
          </w:p>
        </w:tc>
        <w:tc>
          <w:tcPr>
            <w:tcW w:type="dxa" w:w="1504"/>
          </w:tcPr>
          <w:p>
            <w:r>
              <w:t>3806 / 8</w:t>
            </w:r>
          </w:p>
        </w:tc>
        <w:tc>
          <w:tcPr>
            <w:tcW w:type="dxa" w:w="1504"/>
          </w:tcPr>
          <w:p>
            <w:r>
              <w:t>3806 / 9</w:t>
            </w:r>
          </w:p>
        </w:tc>
        <w:tc>
          <w:tcPr>
            <w:tcW w:type="dxa" w:w="1504"/>
          </w:tcPr>
          <w:p>
            <w:r>
              <w:t>0</w:t>
            </w:r>
          </w:p>
        </w:tc>
        <w:tc>
          <w:tcPr>
            <w:tcW w:type="dxa" w:w="1504"/>
          </w:tcPr>
          <w:p>
            <w:r>
              <w:t>108</w:t>
            </w:r>
          </w:p>
        </w:tc>
        <w:tc>
          <w:tcPr>
            <w:tcW w:type="dxa" w:w="1504"/>
          </w:tcPr>
          <w:p>
            <w:r>
              <w:t>Coverage changes</w:t>
            </w:r>
          </w:p>
        </w:tc>
      </w:tr>
      <w:tr>
        <w:tc>
          <w:tcPr>
            <w:tcW w:type="dxa" w:w="1504"/>
          </w:tcPr>
          <w:p>
            <w:r>
              <w:t>payers</w:t>
            </w:r>
          </w:p>
        </w:tc>
        <w:tc>
          <w:tcPr>
            <w:tcW w:type="dxa" w:w="1504"/>
          </w:tcPr>
          <w:p>
            <w:r>
              <w:t>10 / 22</w:t>
            </w:r>
          </w:p>
        </w:tc>
        <w:tc>
          <w:tcPr>
            <w:tcW w:type="dxa" w:w="1504"/>
          </w:tcPr>
          <w:p>
            <w:r>
              <w:t>10 / 22</w:t>
            </w:r>
          </w:p>
        </w:tc>
        <w:tc>
          <w:tcPr>
            <w:tcW w:type="dxa" w:w="1504"/>
          </w:tcPr>
          <w:p>
            <w:r>
              <w:t>0</w:t>
            </w:r>
          </w:p>
        </w:tc>
        <w:tc>
          <w:tcPr>
            <w:tcW w:type="dxa" w:w="1504"/>
          </w:tcPr>
          <w:p>
            <w:r>
              <w:t>None</w:t>
            </w:r>
          </w:p>
        </w:tc>
        <w:tc>
          <w:tcPr>
            <w:tcW w:type="dxa" w:w="1504"/>
          </w:tcPr>
          <w:p>
            <w:r>
              <w:t>Payer context</w:t>
            </w:r>
          </w:p>
        </w:tc>
      </w:tr>
      <w:tr>
        <w:tc>
          <w:tcPr>
            <w:tcW w:type="dxa" w:w="1504"/>
          </w:tcPr>
          <w:p>
            <w:r>
              <w:t>providers</w:t>
            </w:r>
          </w:p>
        </w:tc>
        <w:tc>
          <w:tcPr>
            <w:tcW w:type="dxa" w:w="1504"/>
          </w:tcPr>
          <w:p>
            <w:r>
              <w:t>278 / 13</w:t>
            </w:r>
          </w:p>
        </w:tc>
        <w:tc>
          <w:tcPr>
            <w:tcW w:type="dxa" w:w="1504"/>
          </w:tcPr>
          <w:p>
            <w:r>
              <w:t>278 / 12</w:t>
            </w:r>
          </w:p>
        </w:tc>
        <w:tc>
          <w:tcPr>
            <w:tcW w:type="dxa" w:w="1504"/>
          </w:tcPr>
          <w:p>
            <w:r>
              <w:t>0</w:t>
            </w:r>
          </w:p>
        </w:tc>
        <w:tc>
          <w:tcPr>
            <w:tcW w:type="dxa" w:w="1504"/>
          </w:tcPr>
          <w:p>
            <w:r>
              <w:t>None</w:t>
            </w:r>
          </w:p>
        </w:tc>
        <w:tc>
          <w:tcPr>
            <w:tcW w:type="dxa" w:w="1504"/>
          </w:tcPr>
          <w:p>
            <w:r>
              <w:t>Provider + access context</w:t>
            </w:r>
          </w:p>
        </w:tc>
      </w:tr>
      <w:tr>
        <w:tc>
          <w:tcPr>
            <w:tcW w:type="dxa" w:w="1504"/>
          </w:tcPr>
          <w:p>
            <w:r>
              <w:t>supplies</w:t>
            </w:r>
          </w:p>
        </w:tc>
        <w:tc>
          <w:tcPr>
            <w:tcW w:type="dxa" w:w="1504"/>
          </w:tcPr>
          <w:p>
            <w:r>
              <w:t>2754 / 6</w:t>
            </w:r>
          </w:p>
        </w:tc>
        <w:tc>
          <w:tcPr>
            <w:tcW w:type="dxa" w:w="1504"/>
          </w:tcPr>
          <w:p>
            <w:r>
              <w:t>2738 / 6</w:t>
            </w:r>
          </w:p>
        </w:tc>
        <w:tc>
          <w:tcPr>
            <w:tcW w:type="dxa" w:w="1504"/>
          </w:tcPr>
          <w:p>
            <w:r>
              <w:t>16</w:t>
            </w:r>
          </w:p>
        </w:tc>
        <w:tc>
          <w:tcPr>
            <w:tcW w:type="dxa" w:w="1504"/>
          </w:tcPr>
          <w:p>
            <w:r>
              <w:t>99</w:t>
            </w:r>
          </w:p>
        </w:tc>
        <w:tc>
          <w:tcPr>
            <w:tcW w:type="dxa" w:w="1504"/>
          </w:tcPr>
          <w:p>
            <w:r>
              <w:t>Healthcare service context</w:t>
            </w:r>
          </w:p>
        </w:tc>
      </w:tr>
    </w:tbl>
    <w:sectPr w:rsidR="003B72AB" w:rsidRPr="003B7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27C7"/>
    <w:multiLevelType w:val="hybridMultilevel"/>
    <w:tmpl w:val="F1E0D17A"/>
    <w:lvl w:ilvl="0" w:tplc="1F22E5F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FD3732"/>
    <w:multiLevelType w:val="multilevel"/>
    <w:tmpl w:val="4B1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57147">
    <w:abstractNumId w:val="0"/>
  </w:num>
  <w:num w:numId="2" w16cid:durableId="1667396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AB"/>
    <w:rsid w:val="003B72AB"/>
    <w:rsid w:val="005B4E9B"/>
    <w:rsid w:val="007516CA"/>
    <w:rsid w:val="007B0255"/>
    <w:rsid w:val="008078FC"/>
    <w:rsid w:val="00D23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E70D"/>
  <w15:chartTrackingRefBased/>
  <w15:docId w15:val="{36771558-6CB9-45A2-B106-A23C534F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AB"/>
    <w:rPr>
      <w:rFonts w:eastAsiaTheme="majorEastAsia" w:cstheme="majorBidi"/>
      <w:color w:val="272727" w:themeColor="text1" w:themeTint="D8"/>
    </w:rPr>
  </w:style>
  <w:style w:type="paragraph" w:styleId="Title">
    <w:name w:val="Title"/>
    <w:basedOn w:val="Normal"/>
    <w:next w:val="Normal"/>
    <w:link w:val="TitleChar"/>
    <w:uiPriority w:val="10"/>
    <w:qFormat/>
    <w:rsid w:val="003B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A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AB"/>
    <w:rPr>
      <w:i/>
      <w:iCs/>
      <w:color w:val="404040" w:themeColor="text1" w:themeTint="BF"/>
    </w:rPr>
  </w:style>
  <w:style w:type="paragraph" w:styleId="ListParagraph">
    <w:name w:val="List Paragraph"/>
    <w:basedOn w:val="Normal"/>
    <w:uiPriority w:val="34"/>
    <w:qFormat/>
    <w:rsid w:val="003B72AB"/>
    <w:pPr>
      <w:ind w:left="720"/>
      <w:contextualSpacing/>
    </w:pPr>
  </w:style>
  <w:style w:type="character" w:styleId="IntenseEmphasis">
    <w:name w:val="Intense Emphasis"/>
    <w:basedOn w:val="DefaultParagraphFont"/>
    <w:uiPriority w:val="21"/>
    <w:qFormat/>
    <w:rsid w:val="003B72AB"/>
    <w:rPr>
      <w:i/>
      <w:iCs/>
      <w:color w:val="2F5496" w:themeColor="accent1" w:themeShade="BF"/>
    </w:rPr>
  </w:style>
  <w:style w:type="paragraph" w:styleId="IntenseQuote">
    <w:name w:val="Intense Quote"/>
    <w:basedOn w:val="Normal"/>
    <w:next w:val="Normal"/>
    <w:link w:val="IntenseQuoteChar"/>
    <w:uiPriority w:val="30"/>
    <w:qFormat/>
    <w:rsid w:val="003B7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AB"/>
    <w:rPr>
      <w:i/>
      <w:iCs/>
      <w:color w:val="2F5496" w:themeColor="accent1" w:themeShade="BF"/>
    </w:rPr>
  </w:style>
  <w:style w:type="character" w:styleId="IntenseReference">
    <w:name w:val="Intense Reference"/>
    <w:basedOn w:val="DefaultParagraphFont"/>
    <w:uiPriority w:val="32"/>
    <w:qFormat/>
    <w:rsid w:val="003B72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Nara</dc:creator>
  <cp:keywords/>
  <dc:description/>
  <cp:lastModifiedBy>Amulya Nara</cp:lastModifiedBy>
  <cp:revision>2</cp:revision>
  <dcterms:created xsi:type="dcterms:W3CDTF">2026-08-12T17:09:00Z</dcterms:created>
  <dcterms:modified xsi:type="dcterms:W3CDTF">2026-08-12T17:09:00Z</dcterms:modified>
</cp:coreProperties>
</file>