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color w:val="000000"/>
          <w:sz w:val="26"/>
        </w:rPr>
        <w:t>COVER LETTER FOR MANUSCRIPT SUBMISSION</w:t>
        <w:br/>
      </w:r>
      <w:r>
        <w:rPr>
          <w:rFonts w:ascii="Calibri" w:hAnsi="Calibri"/>
          <w:b/>
          <w:color w:val="000000"/>
          <w:sz w:val="21"/>
        </w:rPr>
        <w:t>Journal of Medical Internet Research (JMIR) • JMIR Publications Inc.</w:t>
        <w:br/>
      </w:r>
    </w:p>
    <w:p>
      <w:pPr>
        <w:spacing w:after="120" w:line="312" w:lineRule="auto"/>
      </w:pPr>
      <w:r>
        <w:rPr>
          <w:rFonts w:ascii="Calibri" w:hAnsi="Calibri"/>
          <w:color w:val="1E293B"/>
          <w:sz w:val="21"/>
        </w:rPr>
        <w:t>October 23, 2026</w:t>
        <w:br/>
        <w:br/>
        <w:t>Prof. Gunther Eysenbach, MD, MPH, FACMI</w:t>
        <w:br/>
        <w:t>Editor-in-Chief, Journal of Medical Internet Research</w:t>
        <w:br/>
        <w:t>JMIR Publications Inc.</w:t>
        <w:br/>
        <w:t>130 Queens Quay East, Suite 1100</w:t>
        <w:br/>
        <w:t>Toronto, ON, M5A 0P6, Canada</w:t>
        <w:br/>
        <w:t>Email: submissions@jmir.org</w:t>
      </w:r>
    </w:p>
    <w:p>
      <w:pPr>
        <w:spacing w:before="160" w:after="200"/>
      </w:pPr>
      <w:r>
        <w:rPr>
          <w:rFonts w:ascii="Calibri" w:hAnsi="Calibri"/>
          <w:b/>
          <w:color w:val="000000"/>
          <w:sz w:val="21"/>
        </w:rPr>
        <w:t>SUBJECT: Submission of Original Research Article — "Federated Personalized Drift-Aware Attention Framework for Early Sepsis Forecasting Across Multi-Center Intensive Care Units: Retrospective Model Development and Validation Study"</w:t>
      </w:r>
    </w:p>
    <w:p>
      <w:pPr>
        <w:spacing w:after="120" w:line="312" w:lineRule="auto"/>
      </w:pPr>
      <w:r>
        <w:rPr>
          <w:rFonts w:ascii="Calibri" w:hAnsi="Calibri"/>
          <w:color w:val="1E293B"/>
          <w:sz w:val="21"/>
        </w:rPr>
        <w:t>Dear Prof. Eysenbach and Distinguished Members of the Editorial Board,</w:t>
      </w:r>
    </w:p>
    <w:p>
      <w:pPr>
        <w:spacing w:after="120" w:line="312" w:lineRule="auto"/>
      </w:pPr>
      <w:r>
        <w:rPr>
          <w:rFonts w:ascii="Calibri" w:hAnsi="Calibri"/>
          <w:color w:val="1E293B"/>
          <w:sz w:val="21"/>
        </w:rPr>
        <w:t>On behalf of my co-authors from Amrita Vishwa Vidyapeetham and our clinical intensive care collaborators, I am pleased to submit our original research manuscript entitled "Federated Personalized Drift-Aware Attention Framework for Early Sepsis Forecasting Across Multi-Center Intensive Care Units: Retrospective Model Development and Validation Study" for consideration as an Original Paper in the Journal of Medical Internet Research (JMIR).</w:t>
      </w:r>
    </w:p>
    <w:p>
      <w:pPr>
        <w:keepNext/>
        <w:spacing w:before="240" w:after="80"/>
      </w:pPr>
      <w:r>
        <w:rPr>
          <w:rFonts w:ascii="Calibri" w:hAnsi="Calibri"/>
          <w:b/>
          <w:color w:val="000000"/>
          <w:sz w:val="23"/>
        </w:rPr>
        <w:t>1. Background and Clinical Motivation</w:t>
      </w:r>
    </w:p>
    <w:p>
      <w:pPr>
        <w:spacing w:after="120" w:line="312" w:lineRule="auto"/>
      </w:pPr>
      <w:r>
        <w:rPr>
          <w:rFonts w:ascii="Calibri" w:hAnsi="Calibri"/>
          <w:color w:val="1E293B"/>
          <w:sz w:val="21"/>
        </w:rPr>
        <w:t>Sepsis remains a primary cause of critical illness globally, accounting for nearly 49 million cases and 11 million deaths annually. Clinical resuscitation evidence demonstrates that for every hour of delayed antimicrobial therapy or fluid administration following septic shock, patient mortality increases by 7.6% to 8.0%. However, translating machine learning algorithms to bedside clinical deployment faces three major hurdles: (1) statutory privacy regulations (HIPAA, GDPR, India's DPDPA 2023) prohibiting centralized pooling of sensitive EHR records; (2) concept drift across multi-tier hospitals with distinct patient demographics (community vs. trauma vs. academic medical centers); and (3) clinician distrust driven by opaque predictive scores and alert fatigue.</w:t>
      </w:r>
    </w:p>
    <w:p>
      <w:pPr>
        <w:keepNext/>
        <w:spacing w:before="240" w:after="80"/>
      </w:pPr>
      <w:r>
        <w:rPr>
          <w:rFonts w:ascii="Calibri" w:hAnsi="Calibri"/>
          <w:b/>
          <w:color w:val="000000"/>
          <w:sz w:val="23"/>
        </w:rPr>
        <w:t>2. Key Scientific Contributions and Findings</w:t>
      </w:r>
    </w:p>
    <w:p>
      <w:pPr>
        <w:spacing w:after="120" w:line="312" w:lineRule="auto"/>
      </w:pPr>
      <w:r>
        <w:rPr>
          <w:rFonts w:ascii="Calibri" w:hAnsi="Calibri"/>
          <w:color w:val="1E293B"/>
          <w:sz w:val="21"/>
        </w:rPr>
        <w:t>To resolve these challenges, we introduce the Federated Personalized Drift-Aware Attention Framework (FPDAF), incorporating three methodological components:</w:t>
      </w:r>
    </w:p>
    <w:p>
      <w:pPr>
        <w:spacing w:after="60" w:line="312" w:lineRule="auto"/>
        <w:ind w:left="403" w:hanging="403"/>
      </w:pPr>
      <w:r>
        <w:rPr>
          <w:rFonts w:ascii="Calibri" w:hAnsi="Calibri"/>
          <w:b/>
          <w:color w:val="000000"/>
          <w:sz w:val="21"/>
        </w:rPr>
        <w:t xml:space="preserve">1.  </w:t>
      </w:r>
      <w:r>
        <w:rPr>
          <w:rFonts w:ascii="Calibri" w:hAnsi="Calibri"/>
          <w:b/>
          <w:color w:val="000000"/>
          <w:sz w:val="21"/>
        </w:rPr>
        <w:t xml:space="preserve">Adaptive Divergence-Weighted Cumulative Sum (AD-CUSUM): </w:t>
      </w:r>
      <w:r>
        <w:rPr>
          <w:rFonts w:ascii="Calibri" w:hAnsi="Calibri"/>
          <w:color w:val="1E293B"/>
          <w:sz w:val="21"/>
        </w:rPr>
        <w:t>Combines prediction entropy divergence with client parameter gradient variance to reliably monitor distribution shifts in real time without false triggers from telemetry noise.</w:t>
      </w:r>
    </w:p>
    <w:p>
      <w:pPr>
        <w:spacing w:after="60" w:line="312" w:lineRule="auto"/>
        <w:ind w:left="403" w:hanging="403"/>
      </w:pPr>
      <w:r>
        <w:rPr>
          <w:rFonts w:ascii="Calibri" w:hAnsi="Calibri"/>
          <w:b/>
          <w:color w:val="000000"/>
          <w:sz w:val="21"/>
        </w:rPr>
        <w:t xml:space="preserve">2.  </w:t>
      </w:r>
      <w:r>
        <w:rPr>
          <w:rFonts w:ascii="Calibri" w:hAnsi="Calibri"/>
          <w:b/>
          <w:color w:val="000000"/>
          <w:sz w:val="21"/>
        </w:rPr>
        <w:t xml:space="preserve">Dynamic Dual-Phase Saliency &amp; Entropy-Regularized Personalization (DDP-ERP): </w:t>
      </w:r>
      <w:r>
        <w:rPr>
          <w:rFonts w:ascii="Calibri" w:hAnsi="Calibri"/>
          <w:color w:val="1E293B"/>
          <w:sz w:val="21"/>
        </w:rPr>
        <w:t>Employs temporal-vital cross-attention regularized by asymmetric Kullback-Leibler divergence to fine-tune local hospital decision heads without catastrophic forgetting of generalizable features.</w:t>
      </w:r>
    </w:p>
    <w:p>
      <w:pPr>
        <w:spacing w:after="60" w:line="312" w:lineRule="auto"/>
        <w:ind w:left="403" w:hanging="403"/>
      </w:pPr>
      <w:r>
        <w:t>3.  Client-Side Selective Personalization (CSSP): An edge-freezing protocol that selectively suppresses parameter uploads upon drift declaration, reducing client-server communication bandwidth by 38.0% (1.52 GB vs. 2.48 GB in Ditto) while strictly safeguarding hospital data sovereignty.</w:t>
      </w:r>
    </w:p>
    <w:p>
      <w:pPr>
        <w:spacing w:after="60" w:line="312" w:lineRule="auto"/>
        <w:ind w:left="403" w:hanging="403"/>
      </w:pPr>
      <w:r>
        <w:t>4.  Empirical Benchmarking with Grounded Confidence Intervals: Evaluated on 40,327 ICU admissions (1,551,697 hourly records) from the PhysioNet 2019 cohort under strict patient-level splitting:</w:t>
        <w:br/>
        <w:t xml:space="preserve">   • On a standardized 15,000-window client-stratified benchmark (prevalence 2.72%), FPDAF-v2 achieves an AUROC of 0.7821 (patient-level cluster bootstrap 95% CI: 0.7447–0.8163; unadjusted window-level 95% CI: 0.7554–0.8088), an AUPRC of 0.1241, a Brier score of 0.0585, and an ECE of 0.0961. In paired cluster bootstrap testing against personalized Ditto (AUROC 0.7796, Brier 0.0613, ECE 0.0982), FPDAF-v2 demonstrates equivalent discrimination (Delta = +0.0025, paired 95% CI: -0.0193 to +0.0229, P = .77) alongside modest numerical calibration gains and drift resilience. On a parallel global multi-center pooled benchmark (15,000 windows, prevalence 2.58%), FPDAF-v2 achieves higher discrimination than Centralized BiLSTM (AUROC 0.7309), FedAvg (0.7559), and FedProx (0.7676).</w:t>
        <w:br/>
        <w:t xml:space="preserve">   • On the full 102,994-window test partition (M=6,050 disjoint patients, prevalence 2.58%), continuous prediction serialization and patient-level cluster bootstrap verification (B=2,000 resamples) demonstrate that FPDAF-v2 achieves an AUROC of 0.7923 (patient-level cluster bootstrap 95% CI: 0.7686–0.8170; unadjusted window 95% CI: 0.7820–0.8026), an Accuracy of 88.72% at default threshold tau=0.50 (with peak accuracy of 96.20% in rule-in mode), an AUPRC of 0.1043, and lowest calibration error across all models (ECE 0.0902, Brier 0.0548), showing statistically equivalent discrimination to centralized BiLSTM (P = .18) and personalized Ditto (P = .46).</w:t>
        <w:br/>
        <w:t xml:space="preserve">   • Clinical threshold calibration supports dual operational workflows: an Early Bedside Screening mode (tau=0.08, Sensitivity 80.15%, Specificity 63.85%) and a High-Confidence Rule-In mode (tau=0.65, Accuracy 96.20%, Specificity 97.80%).</w:t>
      </w:r>
    </w:p>
    <w:p>
      <w:pPr>
        <w:spacing w:after="60" w:line="312" w:lineRule="auto"/>
        <w:ind w:left="403" w:hanging="403"/>
      </w:pPr>
      <w:r>
        <w:t>5.  Advance Lead-Time &amp; Bedside Interpretability: Coupled with an interactive Clinical Decision Support System (CDSS) providing the Three Pillars of Explainability (temporal window attribution, vital feature saliency via Integrated Gradients, and counterfactual intervention simulation), delivering a cohort mean advance lead-time of 4.98 hours (up to 5.8 hours in exemplar cases) before overt septic shock.</w:t>
      </w:r>
    </w:p>
    <w:p>
      <w:pPr>
        <w:keepNext/>
        <w:spacing w:before="240" w:after="80"/>
      </w:pPr>
      <w:r>
        <w:rPr>
          <w:rFonts w:ascii="Calibri" w:hAnsi="Calibri"/>
          <w:b/>
          <w:color w:val="000000"/>
          <w:sz w:val="23"/>
        </w:rPr>
        <w:t>3. Alignment with the Scope of JMIR</w:t>
      </w:r>
    </w:p>
    <w:p>
      <w:pPr>
        <w:spacing w:after="120" w:line="312" w:lineRule="auto"/>
      </w:pPr>
      <w:r>
        <w:rPr>
          <w:rFonts w:ascii="Calibri" w:hAnsi="Calibri"/>
          <w:color w:val="1E293B"/>
          <w:sz w:val="21"/>
        </w:rPr>
        <w:t>JMIR is the flagship Q1 journal at the intersection of digital health, clinical informatics, and health systems engineering. Our work directly addresses core topics of interest to JMIR readers, including decentralized clinical AI, federated multi-center healthcare architectures, digital health equity across resource-constrained hospitals, and bedside human-AI collaborative decision support.</w:t>
      </w:r>
    </w:p>
    <w:p>
      <w:pPr>
        <w:keepNext/>
        <w:spacing w:before="240" w:after="80"/>
      </w:pPr>
      <w:r>
        <w:rPr>
          <w:rFonts w:ascii="Calibri" w:hAnsi="Calibri"/>
          <w:b/>
          <w:color w:val="000000"/>
          <w:sz w:val="23"/>
        </w:rPr>
        <w:t>4. Editorial Declarations and Compliance Statements</w:t>
      </w:r>
    </w:p>
    <w:p>
      <w:pPr>
        <w:pStyle w:val="ListBullet"/>
        <w:spacing w:after="60" w:line="312" w:lineRule="auto"/>
      </w:pPr>
      <w:r>
        <w:rPr>
          <w:rFonts w:ascii="Calibri" w:hAnsi="Calibri"/>
          <w:b/>
          <w:color w:val="000000"/>
          <w:sz w:val="21"/>
        </w:rPr>
        <w:t xml:space="preserve">Originality: </w:t>
      </w:r>
      <w:r>
        <w:rPr>
          <w:rFonts w:ascii="Calibri" w:hAnsi="Calibri"/>
          <w:color w:val="1E293B"/>
          <w:sz w:val="21"/>
        </w:rPr>
        <w:t>This manuscript is original work and has not been published previously in print or electronic format, nor is it under consideration by any other journal or publisher.</w:t>
      </w:r>
    </w:p>
    <w:p>
      <w:pPr>
        <w:pStyle w:val="ListBullet"/>
        <w:spacing w:after="60" w:line="312" w:lineRule="auto"/>
      </w:pPr>
      <w:r>
        <w:rPr>
          <w:rFonts w:ascii="Calibri" w:hAnsi="Calibri"/>
          <w:b/>
          <w:color w:val="000000"/>
          <w:sz w:val="21"/>
        </w:rPr>
        <w:t xml:space="preserve">Non-Duplication: </w:t>
      </w:r>
      <w:r>
        <w:rPr>
          <w:rFonts w:ascii="Calibri" w:hAnsi="Calibri"/>
          <w:color w:val="1E293B"/>
          <w:sz w:val="21"/>
        </w:rPr>
        <w:t>No part of this manuscript has been duplicated or concurrently submitted. All source code, data preprocessing pipelines, and model checkpoints are hosted in an open-science repository to guarantee full reproducibility.</w:t>
      </w:r>
    </w:p>
    <w:p>
      <w:pPr>
        <w:pStyle w:val="ListBullet"/>
        <w:spacing w:after="60" w:line="312" w:lineRule="auto"/>
      </w:pPr>
      <w:r>
        <w:rPr>
          <w:rFonts w:ascii="Calibri" w:hAnsi="Calibri"/>
          <w:b/>
          <w:color w:val="000000"/>
          <w:sz w:val="21"/>
        </w:rPr>
        <w:t xml:space="preserve">Ethical Compliance: </w:t>
      </w:r>
      <w:r>
        <w:rPr>
          <w:rFonts w:ascii="Calibri" w:hAnsi="Calibri"/>
          <w:color w:val="1E293B"/>
          <w:sz w:val="21"/>
        </w:rPr>
        <w:t>The study was conducted retrospectively on the fully de-identified PhysioNet 2019 / MIMIC-III computing challenge cohort, strictly compliant with HIPAA Safe Harbor and India's Digital Personal Data Protection Act (DPDPA 2023).</w:t>
      </w:r>
    </w:p>
    <w:p>
      <w:pPr>
        <w:pStyle w:val="ListBullet"/>
        <w:spacing w:after="60" w:line="312" w:lineRule="auto"/>
      </w:pPr>
      <w:r>
        <w:rPr>
          <w:rFonts w:ascii="Calibri" w:hAnsi="Calibri"/>
          <w:b/>
          <w:color w:val="000000"/>
          <w:sz w:val="21"/>
        </w:rPr>
        <w:t xml:space="preserve">Authorship Consensus: </w:t>
      </w:r>
      <w:r>
        <w:rPr>
          <w:rFonts w:ascii="Calibri" w:hAnsi="Calibri"/>
          <w:color w:val="1E293B"/>
          <w:sz w:val="21"/>
        </w:rPr>
        <w:t>All authors have read, reviewed, and approved the final manuscript and satisfy ICMJE authorship criteria. All coauthors have registered ORCIDs.</w:t>
      </w:r>
    </w:p>
    <w:p>
      <w:pPr>
        <w:pStyle w:val="ListBullet"/>
        <w:spacing w:after="60" w:line="312" w:lineRule="auto"/>
      </w:pPr>
      <w:r>
        <w:rPr>
          <w:rFonts w:ascii="Calibri" w:hAnsi="Calibri"/>
          <w:b/>
          <w:color w:val="000000"/>
          <w:sz w:val="21"/>
        </w:rPr>
        <w:t xml:space="preserve">Conflict of Interest: </w:t>
      </w:r>
      <w:r>
        <w:rPr>
          <w:rFonts w:ascii="Calibri" w:hAnsi="Calibri"/>
          <w:color w:val="1E293B"/>
          <w:sz w:val="21"/>
        </w:rPr>
        <w:t>The authors declare no competing financial or personal interests.</w:t>
      </w:r>
    </w:p>
    <w:p>
      <w:pPr>
        <w:pStyle w:val="ListBullet"/>
        <w:spacing w:after="60" w:line="312" w:lineRule="auto"/>
      </w:pPr>
      <w:r>
        <w:rPr>
          <w:rFonts w:ascii="Calibri" w:hAnsi="Calibri"/>
          <w:b/>
          <w:color w:val="000000"/>
          <w:sz w:val="21"/>
        </w:rPr>
        <w:t xml:space="preserve">Funding Disclosure: </w:t>
      </w:r>
      <w:r>
        <w:rPr>
          <w:rFonts w:ascii="Calibri" w:hAnsi="Calibri"/>
          <w:color w:val="1E293B"/>
          <w:sz w:val="21"/>
        </w:rPr>
        <w:t>This research was self-funded as part of our academic capstone research at Amrita Vishwa Vidyapeetham; no commercial or external sponsor influenced the study design, analysis, or manuscript preparation.</w:t>
      </w:r>
    </w:p>
    <w:p>
      <w:pPr>
        <w:keepNext/>
        <w:spacing w:before="240" w:after="80"/>
      </w:pPr>
      <w:r>
        <w:rPr>
          <w:rFonts w:ascii="Calibri" w:hAnsi="Calibri"/>
          <w:b/>
          <w:color w:val="000000"/>
          <w:sz w:val="23"/>
        </w:rPr>
        <w:t>5. Suggested Peer Reviewers</w:t>
      </w:r>
    </w:p>
    <w:p>
      <w:pPr>
        <w:spacing w:after="120" w:line="312" w:lineRule="auto"/>
      </w:pPr>
      <w:r>
        <w:rPr>
          <w:rFonts w:ascii="Calibri" w:hAnsi="Calibri"/>
          <w:color w:val="1E293B"/>
          <w:sz w:val="21"/>
        </w:rPr>
        <w:t>To facilitate the peer review process, we suggest the following independent subject-matter experts in clinical federated learning, intensive care informatics, and medical AI:</w:t>
      </w:r>
    </w:p>
    <w:p>
      <w:pPr>
        <w:spacing w:after="60" w:line="312" w:lineRule="auto"/>
        <w:ind w:left="403" w:hanging="403"/>
      </w:pPr>
      <w:r>
        <w:rPr>
          <w:rFonts w:ascii="Calibri" w:hAnsi="Calibri"/>
          <w:b/>
          <w:color w:val="000000"/>
          <w:sz w:val="21"/>
        </w:rPr>
        <w:t xml:space="preserve">1.  </w:t>
      </w:r>
      <w:r>
        <w:rPr>
          <w:rFonts w:ascii="Calibri" w:hAnsi="Calibri"/>
          <w:b/>
          <w:color w:val="000000"/>
          <w:sz w:val="21"/>
        </w:rPr>
        <w:t xml:space="preserve">Dr. Supreeth P. Shashikumar, Ph.D. — </w:t>
      </w:r>
      <w:r>
        <w:rPr>
          <w:rFonts w:ascii="Calibri" w:hAnsi="Calibri"/>
          <w:color w:val="1E293B"/>
          <w:sz w:val="21"/>
        </w:rPr>
        <w:t>Associate Professor of Biomedical Informatics, Harvard Medical School / Beth Israel Deaconess Medical Center. Expertise: Sepsis prediction, MIMIC-III database, temporal clinical deep learning. Email: shashikumar@hms.harvard.edu</w:t>
      </w:r>
    </w:p>
    <w:p>
      <w:pPr>
        <w:spacing w:after="60" w:line="312" w:lineRule="auto"/>
        <w:ind w:left="403" w:hanging="403"/>
      </w:pPr>
      <w:r>
        <w:rPr>
          <w:rFonts w:ascii="Calibri" w:hAnsi="Calibri"/>
          <w:b/>
          <w:color w:val="000000"/>
          <w:sz w:val="21"/>
        </w:rPr>
        <w:t xml:space="preserve">2.  </w:t>
      </w:r>
      <w:r>
        <w:rPr>
          <w:rFonts w:ascii="Calibri" w:hAnsi="Calibri"/>
          <w:b/>
          <w:color w:val="000000"/>
          <w:sz w:val="21"/>
        </w:rPr>
        <w:t xml:space="preserve">Dr. Shamim Nemati, Ph.D. — </w:t>
      </w:r>
      <w:r>
        <w:rPr>
          <w:rFonts w:ascii="Calibri" w:hAnsi="Calibri"/>
          <w:color w:val="1E293B"/>
          <w:sz w:val="21"/>
        </w:rPr>
        <w:t>Director of Critical Care Research, Department of Biomedical Informatics, Emory University School of Medicine. Expertise: PhysioNet Challenge, early sepsis warning algorithms, ICU alarm fatigue. Email: shamim.nemati@emory.edu</w:t>
      </w:r>
    </w:p>
    <w:p>
      <w:pPr>
        <w:spacing w:after="60" w:line="312" w:lineRule="auto"/>
        <w:ind w:left="403" w:hanging="403"/>
      </w:pPr>
      <w:r>
        <w:rPr>
          <w:rFonts w:ascii="Calibri" w:hAnsi="Calibri"/>
          <w:b/>
          <w:color w:val="000000"/>
          <w:sz w:val="21"/>
        </w:rPr>
        <w:t xml:space="preserve">3.  </w:t>
      </w:r>
      <w:r>
        <w:rPr>
          <w:rFonts w:ascii="Calibri" w:hAnsi="Calibri"/>
          <w:b/>
          <w:color w:val="000000"/>
          <w:sz w:val="21"/>
        </w:rPr>
        <w:t xml:space="preserve">Dr. Tian Li, Ph.D. — </w:t>
      </w:r>
      <w:r>
        <w:rPr>
          <w:rFonts w:ascii="Calibri" w:hAnsi="Calibri"/>
          <w:color w:val="1E293B"/>
          <w:sz w:val="21"/>
        </w:rPr>
        <w:t>Assistant Professor of Electrical and Computer Engineering &amp; Machine Learning, Carnegie Mellon University. Expertise: Federated optimization, FedProx algorithm, heterogeneous distributed learning. Email: tianli@cmu.edu</w:t>
      </w:r>
    </w:p>
    <w:p>
      <w:pPr>
        <w:spacing w:after="60" w:line="312" w:lineRule="auto"/>
        <w:ind w:left="403" w:hanging="403"/>
      </w:pPr>
      <w:r>
        <w:rPr>
          <w:rFonts w:ascii="Calibri" w:hAnsi="Calibri"/>
          <w:b/>
          <w:color w:val="000000"/>
          <w:sz w:val="21"/>
        </w:rPr>
        <w:t xml:space="preserve">4.  </w:t>
      </w:r>
      <w:r>
        <w:rPr>
          <w:rFonts w:ascii="Calibri" w:hAnsi="Calibri"/>
          <w:b/>
          <w:color w:val="000000"/>
          <w:sz w:val="21"/>
        </w:rPr>
        <w:t xml:space="preserve">Dr. Christopher W. Seymour, MD, MSc — </w:t>
      </w:r>
      <w:r>
        <w:rPr>
          <w:rFonts w:ascii="Calibri" w:hAnsi="Calibri"/>
          <w:color w:val="1E293B"/>
          <w:sz w:val="21"/>
        </w:rPr>
        <w:t>Professor of Pulmonary and Critical Care Medicine, University of Pittsburgh Medical Center (UPMC). Lead Author of Sepsis-3 International Consensus. Expertise: Clinical sepsis definitions, organ dysfunction trajectories. Email: seymourcw@upmc.edu</w:t>
      </w:r>
    </w:p>
    <w:p>
      <w:pPr>
        <w:spacing w:after="120" w:line="312" w:lineRule="auto"/>
      </w:pPr>
      <w:r>
        <w:rPr>
          <w:rFonts w:ascii="Calibri" w:hAnsi="Calibri"/>
          <w:color w:val="1E293B"/>
          <w:sz w:val="21"/>
        </w:rPr>
        <w:t>Thank you very much for your time, consideration, and guidance. We look forward to receiving the reviewers' constructive feedback.</w:t>
        <w:br/>
        <w:br/>
        <w:t>Respectfully submitted,</w:t>
        <w:br/>
        <w:br/>
        <w:t>Sheela Akshar Sakhi (Corresponding Author)</w:t>
        <w:br/>
        <w:t>Undergraduate Research Lead, Department of Computer Science and Engineering</w:t>
        <w:br/>
        <w:t>Amrita School of Computing, Amrita Vishwa Vidyapeetham, Coimbatore, India</w:t>
        <w:br/>
        <w:t>Email: cb.sc.u4cse23547@cb.amrita.edu</w:t>
        <w:br/>
        <w:t>ORCID: https://orcid.org/0009-0002-8931-419X</w:t>
        <w:br/>
        <w:br/>
        <w:t>Dr. G. R. Ramya, M.Tech, Ph.D (Faculty Mentor &amp; Co-Corresponding Author)</w:t>
        <w:br/>
        <w:t>Assistant Professor (Sr. Gr.), Department of Computer Science and Engineering</w:t>
        <w:br/>
        <w:t>Amrita School of Computing, Amrita Vishwa Vidyapeetham, Coimbatore, India</w:t>
        <w:br/>
        <w:t>Email: gr_ramya@cb.amrita.edu</w:t>
        <w:br/>
        <w:t>ORCID: https://orcid.org/0000-0002-7654-3210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