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4123F"/>
          <w:sz w:val="28"/>
        </w:rPr>
        <w:t>AMRITA VISHWA VIDYAPEETHAM</w:t>
        <w:br/>
        <w:t>SCHOOL OF COMPUTING</w:t>
        <w:br/>
        <w:t>DEPARTMENT OF COMPUTER SCIENCE AND ENGINEERING</w:t>
        <w:br/>
      </w:r>
    </w:p>
    <w:p>
      <w:pPr>
        <w:jc w:val="center"/>
      </w:pPr>
      <w:r>
        <w:rPr>
          <w:b/>
          <w:color w:val="0F172A"/>
          <w:sz w:val="26"/>
        </w:rPr>
        <w:t>Explainable Federated Learning for Healthcare Time-Series Forecasting with Personalized Drift Adaptation (FPDAF)</w:t>
        <w:br/>
      </w:r>
    </w:p>
    <w:p>
      <w:pPr>
        <w:jc w:val="center"/>
      </w:pPr>
      <w:r>
        <w:rPr>
          <w:b/>
          <w:color w:val="64748B"/>
          <w:sz w:val="20"/>
        </w:rPr>
        <w:t>23CSE498 — Project Phase II (Final Comprehensive Technical Report — Review 4)</w:t>
        <w:br/>
        <w:t>Academic Year: 2025–2026  •  Final External Viva-Voce Evaluation  •  October 2026</w:t>
        <w:br/>
      </w:r>
    </w:p>
    <w:p>
      <w:pPr>
        <w:spacing w:after="120"/>
      </w:pPr>
    </w:p>
    <w:tbl>
      <w:tblPr>
        <w:tblW w:type="auto" w:w="0"/>
        <w:jc w:val="center"/>
        <w:tblLook w:firstColumn="1" w:firstRow="1" w:lastColumn="0" w:lastRow="0" w:noHBand="0" w:noVBand="1" w:val="04A0"/>
      </w:tblPr>
      <w:tblGrid>
        <w:gridCol w:w="2448"/>
        <w:gridCol w:w="2448"/>
        <w:gridCol w:w="2448"/>
        <w:gridCol w:w="2448"/>
      </w:tblGrid>
      <w:tr>
        <w:tc>
          <w:tcPr>
            <w:tcW w:type="dxa" w:w="2592"/>
            <w:shd w:val="clear" w:color="auto" w:fill="A4123F"/>
          </w:tcPr>
          <w:p>
            <w:pPr>
              <w:jc w:val="center"/>
            </w:pPr>
            <w:r>
              <w:rPr>
                <w:b/>
                <w:color w:val="FFFFFF"/>
                <w:sz w:val="19"/>
              </w:rPr>
              <w:t>Team Members (Team 28)</w:t>
            </w:r>
          </w:p>
        </w:tc>
        <w:tc>
          <w:tcPr>
            <w:tcW w:type="dxa" w:w="3600"/>
            <w:shd w:val="clear" w:color="auto" w:fill="A4123F"/>
          </w:tcPr>
          <w:p>
            <w:pPr>
              <w:jc w:val="center"/>
            </w:pPr>
            <w:r>
              <w:rPr>
                <w:b/>
                <w:color w:val="FFFFFF"/>
                <w:sz w:val="19"/>
              </w:rPr>
              <w:t>Project Role</w:t>
            </w:r>
          </w:p>
        </w:tc>
        <w:tc>
          <w:tcPr>
            <w:tcW w:type="dxa" w:w="2592"/>
            <w:shd w:val="clear" w:color="auto" w:fill="A4123F"/>
          </w:tcPr>
          <w:p>
            <w:pPr>
              <w:jc w:val="center"/>
            </w:pPr>
            <w:r>
              <w:rPr>
                <w:b/>
                <w:color w:val="FFFFFF"/>
                <w:sz w:val="19"/>
              </w:rPr>
              <w:t>Guides &amp; Advisory</w:t>
            </w:r>
          </w:p>
        </w:tc>
        <w:tc>
          <w:tcPr>
            <w:tcW w:type="dxa" w:w="1152"/>
            <w:shd w:val="clear" w:color="auto" w:fill="A4123F"/>
          </w:tcPr>
          <w:p>
            <w:pPr>
              <w:jc w:val="center"/>
            </w:pPr>
            <w:r>
              <w:rPr>
                <w:b/>
                <w:color w:val="FFFFFF"/>
                <w:sz w:val="19"/>
              </w:rPr>
              <w:t>Type</w:t>
            </w:r>
          </w:p>
        </w:tc>
      </w:tr>
      <w:tr>
        <w:tc>
          <w:tcPr>
            <w:tcW w:type="dxa" w:w="2592"/>
            <w:shd w:val="clear" w:color="auto" w:fill="F8FAFC"/>
          </w:tcPr>
          <w:p>
            <w:r>
              <w:rPr>
                <w:sz w:val="18"/>
              </w:rPr>
              <w:t>CB.SC.U4CSE23547: SHEELA AKSHAR SAKHI (Lead)</w:t>
            </w:r>
          </w:p>
        </w:tc>
        <w:tc>
          <w:tcPr>
            <w:tcW w:type="dxa" w:w="3600"/>
            <w:shd w:val="clear" w:color="auto" w:fill="F8FAFC"/>
          </w:tcPr>
          <w:p>
            <w:r>
              <w:rPr>
                <w:sz w:val="18"/>
              </w:rPr>
              <w:t>Lead ML &amp; Federated Architect</w:t>
            </w:r>
          </w:p>
        </w:tc>
        <w:tc>
          <w:tcPr>
            <w:tcW w:type="dxa" w:w="2592"/>
            <w:shd w:val="clear" w:color="auto" w:fill="F8FAFC"/>
          </w:tcPr>
          <w:p>
            <w:r>
              <w:rPr>
                <w:sz w:val="18"/>
              </w:rPr>
              <w:t>Dr. G. R. Ramya, M.Tech, Ph.D</w:t>
            </w:r>
          </w:p>
        </w:tc>
        <w:tc>
          <w:tcPr>
            <w:tcW w:type="dxa" w:w="1152"/>
            <w:shd w:val="clear" w:color="auto" w:fill="F8FAFC"/>
          </w:tcPr>
          <w:p>
            <w:pPr>
              <w:jc w:val="center"/>
            </w:pPr>
            <w:r>
              <w:rPr>
                <w:b/>
                <w:sz w:val="18"/>
              </w:rPr>
              <w:t>TYPE 1</w:t>
            </w:r>
          </w:p>
        </w:tc>
      </w:tr>
      <w:tr>
        <w:tc>
          <w:tcPr>
            <w:tcW w:type="dxa" w:w="2592"/>
            <w:shd w:val="clear" w:color="auto" w:fill="FFFFFF"/>
          </w:tcPr>
          <w:p>
            <w:r>
              <w:rPr>
                <w:sz w:val="18"/>
              </w:rPr>
              <w:t>CB.SC.U4CSE23529: HASINI REDDY M</w:t>
            </w:r>
          </w:p>
        </w:tc>
        <w:tc>
          <w:tcPr>
            <w:tcW w:type="dxa" w:w="3600"/>
            <w:shd w:val="clear" w:color="auto" w:fill="FFFFFF"/>
          </w:tcPr>
          <w:p>
            <w:r>
              <w:rPr>
                <w:sz w:val="18"/>
              </w:rPr>
              <w:t>Federated Pipelines Engineer</w:t>
            </w:r>
          </w:p>
        </w:tc>
        <w:tc>
          <w:tcPr>
            <w:tcW w:type="dxa" w:w="2592"/>
            <w:shd w:val="clear" w:color="auto" w:fill="FFFFFF"/>
          </w:tcPr>
          <w:p>
            <w:r>
              <w:rPr>
                <w:sz w:val="18"/>
              </w:rPr>
              <w:t>Dr. Vandhana S, M.Tech, Ph.D</w:t>
            </w:r>
          </w:p>
        </w:tc>
        <w:tc>
          <w:tcPr>
            <w:tcW w:type="dxa" w:w="1152"/>
            <w:shd w:val="clear" w:color="auto" w:fill="FFFFFF"/>
          </w:tcPr>
          <w:p>
            <w:pPr>
              <w:jc w:val="center"/>
            </w:pPr>
            <w:r>
              <w:rPr>
                <w:b/>
                <w:sz w:val="18"/>
              </w:rPr>
              <w:t>RESEARCH</w:t>
            </w:r>
          </w:p>
        </w:tc>
      </w:tr>
      <w:tr>
        <w:tc>
          <w:tcPr>
            <w:tcW w:type="dxa" w:w="2592"/>
            <w:shd w:val="clear" w:color="auto" w:fill="F8FAFC"/>
          </w:tcPr>
          <w:p>
            <w:r>
              <w:rPr>
                <w:sz w:val="18"/>
              </w:rPr>
              <w:t>CB.SC.U4CSE23761: KOUSIK SARMA LAKKARAJU</w:t>
            </w:r>
          </w:p>
        </w:tc>
        <w:tc>
          <w:tcPr>
            <w:tcW w:type="dxa" w:w="3600"/>
            <w:shd w:val="clear" w:color="auto" w:fill="F8FAFC"/>
          </w:tcPr>
          <w:p>
            <w:r>
              <w:rPr>
                <w:sz w:val="18"/>
              </w:rPr>
              <w:t>Temporal Attention &amp; XAI Researcher</w:t>
            </w:r>
          </w:p>
        </w:tc>
        <w:tc>
          <w:tcPr>
            <w:tcW w:type="dxa" w:w="2592"/>
            <w:shd w:val="clear" w:color="auto" w:fill="F8FAFC"/>
          </w:tcPr>
          <w:p>
            <w:r>
              <w:rPr>
                <w:sz w:val="18"/>
              </w:rPr>
              <w:t>Dr. Pallavi, MD (Intensivist)</w:t>
            </w:r>
          </w:p>
        </w:tc>
        <w:tc>
          <w:tcPr>
            <w:tcW w:type="dxa" w:w="1152"/>
            <w:shd w:val="clear" w:color="auto" w:fill="F8FAFC"/>
          </w:tcPr>
          <w:p>
            <w:pPr>
              <w:jc w:val="center"/>
            </w:pPr>
            <w:r>
              <w:rPr>
                <w:b/>
                <w:sz w:val="18"/>
              </w:rPr>
              <w:t>PROJECT</w:t>
            </w:r>
          </w:p>
        </w:tc>
      </w:tr>
      <w:tr>
        <w:tc>
          <w:tcPr>
            <w:tcW w:type="dxa" w:w="2592"/>
            <w:shd w:val="clear" w:color="auto" w:fill="FFFFFF"/>
          </w:tcPr>
          <w:p>
            <w:r>
              <w:rPr>
                <w:sz w:val="18"/>
              </w:rPr>
              <w:t>CB.SC.U4CSE23363: HASWITHA K</w:t>
            </w:r>
          </w:p>
        </w:tc>
        <w:tc>
          <w:tcPr>
            <w:tcW w:type="dxa" w:w="3600"/>
            <w:shd w:val="clear" w:color="auto" w:fill="FFFFFF"/>
          </w:tcPr>
          <w:p>
            <w:r>
              <w:rPr>
                <w:sz w:val="18"/>
              </w:rPr>
              <w:t>Backend FastAPI Developer</w:t>
            </w:r>
          </w:p>
        </w:tc>
        <w:tc>
          <w:tcPr>
            <w:tcW w:type="dxa" w:w="2592"/>
            <w:shd w:val="clear" w:color="auto" w:fill="FFFFFF"/>
          </w:tcPr>
          <w:p>
            <w:r>
              <w:rPr>
                <w:sz w:val="18"/>
              </w:rPr>
              <w:t>Dept. of CSE, ASC Coimbatore</w:t>
            </w:r>
          </w:p>
        </w:tc>
        <w:tc>
          <w:tcPr>
            <w:tcW w:type="dxa" w:w="1152"/>
            <w:shd w:val="clear" w:color="auto" w:fill="FFFFFF"/>
          </w:tcPr>
          <w:p>
            <w:pPr>
              <w:jc w:val="center"/>
            </w:pPr>
            <w:r>
              <w:rPr>
                <w:b/>
                <w:sz w:val="18"/>
              </w:rPr>
              <w:t>FINAL</w:t>
            </w:r>
          </w:p>
        </w:tc>
      </w:tr>
      <w:tr>
        <w:tc>
          <w:tcPr>
            <w:tcW w:type="dxa" w:w="2592"/>
            <w:shd w:val="clear" w:color="auto" w:fill="F8FAFC"/>
          </w:tcPr>
          <w:p>
            <w:r>
              <w:rPr>
                <w:sz w:val="18"/>
              </w:rPr>
              <w:t>CB.SC.U4CSE23753: V. CHAKRAVARTHY</w:t>
            </w:r>
          </w:p>
        </w:tc>
        <w:tc>
          <w:tcPr>
            <w:tcW w:type="dxa" w:w="3600"/>
            <w:shd w:val="clear" w:color="auto" w:fill="F8FAFC"/>
          </w:tcPr>
          <w:p>
            <w:r>
              <w:rPr>
                <w:sz w:val="18"/>
              </w:rPr>
              <w:t>Clinical Workstation QA/UI</w:t>
            </w:r>
          </w:p>
        </w:tc>
        <w:tc>
          <w:tcPr>
            <w:tcW w:type="dxa" w:w="2592"/>
            <w:shd w:val="clear" w:color="auto" w:fill="F8FAFC"/>
          </w:tcPr>
          <w:p>
            <w:r>
              <w:rPr>
                <w:sz w:val="18"/>
              </w:rPr>
              <w:t>Amrita Vishwa Vidyapeetham</w:t>
            </w:r>
          </w:p>
        </w:tc>
        <w:tc>
          <w:tcPr>
            <w:tcW w:type="dxa" w:w="1152"/>
            <w:shd w:val="clear" w:color="auto" w:fill="F8FAFC"/>
          </w:tcPr>
          <w:p>
            <w:pPr>
              <w:jc w:val="center"/>
            </w:pPr>
            <w:r>
              <w:rPr>
                <w:b/>
                <w:sz w:val="18"/>
              </w:rPr>
              <w:t>REVIEW 4</w:t>
            </w:r>
          </w:p>
        </w:tc>
      </w:tr>
    </w:tbl>
    <w:p>
      <w:pPr>
        <w:spacing w:after="240"/>
      </w:pPr>
    </w:p>
    <w:p>
      <w:pPr>
        <w:spacing w:before="280" w:after="80"/>
      </w:pPr>
      <w:r>
        <w:rPr>
          <w:b/>
          <w:color w:val="A4123F"/>
          <w:sz w:val="25"/>
        </w:rPr>
        <w:t>1. Executive Summary &amp; Phase II Review Progression</w:t>
      </w:r>
    </w:p>
    <w:p>
      <w:r>
        <w:t>This final technical report documents the complete, 100% implemented research deliverables for Project Phase II (Course: 23CSE498). Our project, the Federated Personalized Drift-Aware Attention Framework (FPDAF), resolves the three critical roadblocks impeding clinical AI translation in Intensive Care Units (ICUs): (1) the privacy gap, (2) the accuracy gap driven by non-IID concept drift, and (3) the trust gap driven by uncalibrated black-box predictions.</w:t>
      </w:r>
    </w:p>
    <w:p>
      <w:r>
        <w:rPr>
          <w:b/>
        </w:rPr>
        <w:t>Table 1: Systematic Progression Across Phase II Evaluation Milestones</w:t>
      </w:r>
    </w:p>
    <w:tbl>
      <w:tblPr>
        <w:tblW w:type="auto" w:w="0"/>
        <w:jc w:val="center"/>
        <w:tblLook w:firstColumn="1" w:firstRow="1" w:lastColumn="0" w:lastRow="0" w:noHBand="0" w:noVBand="1" w:val="04A0"/>
      </w:tblPr>
      <w:tblGrid>
        <w:gridCol w:w="3264"/>
        <w:gridCol w:w="3264"/>
        <w:gridCol w:w="3264"/>
      </w:tblGrid>
      <w:tr>
        <w:tc>
          <w:tcPr>
            <w:tcW w:type="dxa" w:w="1728"/>
            <w:shd w:val="clear" w:color="auto" w:fill="A4123F"/>
          </w:tcPr>
          <w:p>
            <w:r>
              <w:rPr>
                <w:b/>
                <w:color w:val="FFFFFF"/>
                <w:sz w:val="19"/>
              </w:rPr>
              <w:t>Review Milestone</w:t>
            </w:r>
          </w:p>
        </w:tc>
        <w:tc>
          <w:tcPr>
            <w:tcW w:type="dxa" w:w="3744"/>
            <w:shd w:val="clear" w:color="auto" w:fill="A4123F"/>
          </w:tcPr>
          <w:p>
            <w:r>
              <w:rPr>
                <w:b/>
                <w:color w:val="FFFFFF"/>
                <w:sz w:val="19"/>
              </w:rPr>
              <w:t>Panel Directives &amp; Feedback</w:t>
            </w:r>
          </w:p>
        </w:tc>
        <w:tc>
          <w:tcPr>
            <w:tcW w:type="dxa" w:w="4464"/>
            <w:shd w:val="clear" w:color="auto" w:fill="A4123F"/>
          </w:tcPr>
          <w:p>
            <w:r>
              <w:rPr>
                <w:b/>
                <w:color w:val="FFFFFF"/>
                <w:sz w:val="19"/>
              </w:rPr>
              <w:t>Final Implementation &amp; Action Taken</w:t>
            </w:r>
          </w:p>
        </w:tc>
      </w:tr>
      <w:tr>
        <w:tc>
          <w:tcPr>
            <w:tcW w:type="dxa" w:w="1728"/>
            <w:shd w:val="clear" w:color="auto" w:fill="F8FAFC"/>
          </w:tcPr>
          <w:p>
            <w:r>
              <w:rPr>
                <w:b/>
                <w:sz w:val="18"/>
              </w:rPr>
              <w:t>Review 1</w:t>
            </w:r>
          </w:p>
        </w:tc>
        <w:tc>
          <w:tcPr>
            <w:tcW w:type="dxa" w:w="3744"/>
            <w:shd w:val="clear" w:color="auto" w:fill="F8FAFC"/>
          </w:tcPr>
          <w:p>
            <w:r>
              <w:rPr>
                <w:sz w:val="18"/>
              </w:rPr>
              <w:t>Justify statistical non-IID partition parameters and validate multi-institutional clinical heterogeneity.</w:t>
            </w:r>
          </w:p>
        </w:tc>
        <w:tc>
          <w:tcPr>
            <w:tcW w:type="dxa" w:w="4464"/>
            <w:shd w:val="clear" w:color="auto" w:fill="F8FAFC"/>
          </w:tcPr>
          <w:p>
            <w:r>
              <w:rPr>
                <w:sz w:val="18"/>
              </w:rPr>
              <w:t>Partitioned the PhysioNet 2019 dataset (40,327 patients) across three distinct institutional tiers (BIDMC Community, Emory Trauma, Geriatric ICU) with statistically verified case-mix divergence (P &lt; .001).</w:t>
            </w:r>
          </w:p>
        </w:tc>
      </w:tr>
      <w:tr>
        <w:tc>
          <w:tcPr>
            <w:tcW w:type="dxa" w:w="1728"/>
            <w:shd w:val="clear" w:color="auto" w:fill="FFFFFF"/>
          </w:tcPr>
          <w:p>
            <w:r>
              <w:rPr>
                <w:b/>
                <w:sz w:val="18"/>
              </w:rPr>
              <w:t>Review 2</w:t>
            </w:r>
          </w:p>
        </w:tc>
        <w:tc>
          <w:tcPr>
            <w:tcW w:type="dxa" w:w="3744"/>
            <w:shd w:val="clear" w:color="auto" w:fill="FFFFFF"/>
          </w:tcPr>
          <w:p>
            <w:r>
              <w:rPr>
                <w:sz w:val="18"/>
              </w:rPr>
              <w:t>Establish personalized federated mechanisms to tackle extreme class imbalance and cross-site concept drift.</w:t>
            </w:r>
          </w:p>
        </w:tc>
        <w:tc>
          <w:tcPr>
            <w:tcW w:type="dxa" w:w="4464"/>
            <w:shd w:val="clear" w:color="auto" w:fill="FFFFFF"/>
          </w:tcPr>
          <w:p>
            <w:r>
              <w:rPr>
                <w:sz w:val="18"/>
              </w:rPr>
              <w:t>Formulated and mathematically proved AD-CUSUM drift detection and DDP-ERP personalized dual-phase cross-attention with entropy regularization.</w:t>
            </w:r>
          </w:p>
        </w:tc>
      </w:tr>
      <w:tr>
        <w:tc>
          <w:tcPr>
            <w:tcW w:type="dxa" w:w="1728"/>
            <w:shd w:val="clear" w:color="auto" w:fill="F8FAFC"/>
          </w:tcPr>
          <w:p>
            <w:r>
              <w:rPr>
                <w:b/>
                <w:sz w:val="18"/>
              </w:rPr>
              <w:t>Review 3</w:t>
            </w:r>
          </w:p>
        </w:tc>
        <w:tc>
          <w:tcPr>
            <w:tcW w:type="dxa" w:w="3744"/>
            <w:shd w:val="clear" w:color="auto" w:fill="F8FAFC"/>
          </w:tcPr>
          <w:p>
            <w:r>
              <w:rPr>
                <w:sz w:val="18"/>
              </w:rPr>
              <w:t>Transition from simulated evaluation to a functional production workstation; eliminate black-box opacity.</w:t>
            </w:r>
          </w:p>
        </w:tc>
        <w:tc>
          <w:tcPr>
            <w:tcW w:type="dxa" w:w="4464"/>
            <w:shd w:val="clear" w:color="auto" w:fill="F8FAFC"/>
          </w:tcPr>
          <w:p>
            <w:r>
              <w:rPr>
                <w:sz w:val="18"/>
              </w:rPr>
              <w:t>Deployed 3-tier clinical CDSS (SQLite warehouse, FastAPI backend, React-Vite workstation) implementing the Three Pillars of Explainability and Surviving Sepsis Campaign Hour-1 bundle.</w:t>
            </w:r>
          </w:p>
        </w:tc>
      </w:tr>
      <w:tr>
        <w:tc>
          <w:tcPr>
            <w:tcW w:type="dxa" w:w="1728"/>
            <w:shd w:val="clear" w:color="auto" w:fill="FFFFFF"/>
          </w:tcPr>
          <w:p>
            <w:r>
              <w:rPr>
                <w:b/>
                <w:sz w:val="18"/>
              </w:rPr>
              <w:t>Review 4 (Current)</w:t>
            </w:r>
          </w:p>
        </w:tc>
        <w:tc>
          <w:tcPr>
            <w:tcW w:type="dxa" w:w="3744"/>
            <w:shd w:val="clear" w:color="auto" w:fill="FFFFFF"/>
          </w:tcPr>
          <w:p>
            <w:r>
              <w:rPr>
                <w:sz w:val="18"/>
              </w:rPr>
              <w:t>Final External Review: Demonstrate 100% complete implementation, causal leak-free validation, external cohort generalization, and formal publication readiness.</w:t>
            </w:r>
          </w:p>
        </w:tc>
        <w:tc>
          <w:tcPr>
            <w:tcW w:type="dxa" w:w="4464"/>
            <w:shd w:val="clear" w:color="auto" w:fill="FFFFFF"/>
          </w:tcPr>
          <w:p>
            <w:r>
              <w:rPr>
                <w:sz w:val="18"/>
              </w:rPr>
              <w:t>100% COMPLETED: Rigorous patient-level splitting (zero temporal leakage), external validation on Osun State UTH (N=1,700), Decision Curve Analysis (DCA), and 4 complete journal submission packages.</w:t>
            </w:r>
          </w:p>
        </w:tc>
      </w:tr>
    </w:tbl>
    <w:p>
      <w:pPr>
        <w:spacing w:before="280" w:after="80"/>
      </w:pPr>
      <w:r>
        <w:rPr>
          <w:b/>
          <w:color w:val="A4123F"/>
          <w:sz w:val="25"/>
        </w:rPr>
        <w:t>2. Clinical Motivation: The Global &amp; Indian Sepsis Crisis</w:t>
      </w:r>
    </w:p>
    <w:p>
      <w:pPr>
        <w:spacing w:before="200" w:after="40"/>
      </w:pPr>
      <w:r>
        <w:rPr>
          <w:b/>
          <w:color w:val="0F172A"/>
          <w:sz w:val="22"/>
        </w:rPr>
        <w:t>2.1 Pathophysiology and the Golden Hour Window</w:t>
      </w:r>
    </w:p>
    <w:p>
      <w:r>
        <w:t>Sepsis is defined internationally under Sepsis-3 consensus criteria as life-threatening organ dysfunction caused by a dysregulated host immune response to infection. In clinical environments, sepsis represents a hyper-acute medical emergency: microvascular thrombosis, diffuse endothelial injury, and vasodilation lead rapidly to refractory hypotension, metabolic acidosis, and multi-organ failure.</w:t>
      </w:r>
    </w:p>
    <w:p>
      <w:r>
        <w:t>According to Surviving Sepsis Campaign (SSC) guidelines, for every single hour of delay in administering appropriate antibiotics and fluid resuscitation following septic shock, patient mortality increases by 7.6% to 8.0%. Consequently, prospective machine learning models that forecast physiological deterioration hours in advance provide clinicians with vital lead-time to initiate the Surviving Sepsis Campaign Hour-1 bundle.</w:t>
      </w:r>
    </w:p>
    <w:p>
      <w:pPr>
        <w:spacing w:before="200" w:after="40"/>
      </w:pPr>
      <w:r>
        <w:rPr>
          <w:b/>
          <w:color w:val="0F172A"/>
          <w:sz w:val="22"/>
        </w:rPr>
        <w:t>2.2 The Critical Care Burden in India</w:t>
      </w:r>
    </w:p>
    <w:p>
      <w:pPr>
        <w:pStyle w:val="ListBullet"/>
        <w:spacing w:after="40"/>
      </w:pPr>
      <w:r>
        <w:rPr>
          <w:b/>
        </w:rPr>
        <w:t xml:space="preserve">National Mortality: </w:t>
      </w:r>
      <w:r>
        <w:t>Sepsis accounts for 2.9 to 3.0 million deaths annually in India out of 11.0 to 11.3 million active episodes, contributing to nearly 30% of all hospital deaths.</w:t>
      </w:r>
    </w:p>
    <w:p>
      <w:pPr>
        <w:pStyle w:val="ListBullet"/>
        <w:spacing w:after="40"/>
      </w:pPr>
      <w:r>
        <w:rPr>
          <w:b/>
        </w:rPr>
        <w:t xml:space="preserve">ICU Mortality Rates: </w:t>
      </w:r>
      <w:r>
        <w:t>Indian ICUs report sepsis mortality rates between 34% and 52%, compounded by high regional antimicrobial resistance (AMR), late patient presentation, and constrained intensivist-to-bed ratios.</w:t>
      </w:r>
    </w:p>
    <w:p>
      <w:pPr>
        <w:pStyle w:val="ListBullet"/>
        <w:spacing w:after="40"/>
      </w:pPr>
      <w:r>
        <w:rPr>
          <w:b/>
        </w:rPr>
        <w:t xml:space="preserve">Decentralized Health Equity: </w:t>
      </w:r>
      <w:r>
        <w:t>Edge-deployed federated intelligence enables resource-constrained community hospitals to benefit from multi-center collaborative models while strictly keeping sensitive patient records inside institutional boundaries.</w:t>
      </w:r>
    </w:p>
    <w:p>
      <w:pPr>
        <w:spacing w:before="280" w:after="80"/>
      </w:pPr>
      <w:r>
        <w:rPr>
          <w:b/>
          <w:color w:val="A4123F"/>
          <w:sz w:val="25"/>
        </w:rPr>
        <w:t>3. The Three Fundamental Healthcare Gaps</w:t>
      </w:r>
    </w:p>
    <w:p>
      <w:r>
        <w:t>Translating multivariate time-series deep learning models into clinical practice is obstructed by three fundamental structural gaps:</w:t>
      </w:r>
    </w:p>
    <w:p>
      <w:pPr>
        <w:pStyle w:val="ListBullet"/>
        <w:spacing w:after="40"/>
      </w:pPr>
      <w:r>
        <w:rPr>
          <w:b/>
        </w:rPr>
        <w:t xml:space="preserve">1. The Privacy Gap: </w:t>
      </w:r>
      <w:r>
        <w:t>Centralizing granular electronic health records (EHR) into a shared database violates data sovereignty and statutory protections, including HIPAA in the US, GDPR in Europe, and India's Digital Personal Data Protection Act (DPDPA 2023). Federated Learning (FL) trains models locally and transmits only encrypted weight updates.</w:t>
      </w:r>
    </w:p>
    <w:p>
      <w:pPr>
        <w:pStyle w:val="ListBullet"/>
        <w:spacing w:after="40"/>
      </w:pPr>
      <w:r>
        <w:rPr>
          <w:b/>
        </w:rPr>
        <w:t xml:space="preserve">2. The Accuracy Gap: </w:t>
      </w:r>
      <w:r>
        <w:t>Intensive care networks exhibit severe statistical heterogeneity (Non-IID distributions) across community clinics, regional trauma centers, and quaternary academic ICUs. Over time, clinical protocols, demographic shifts, and epidemiological surges induce concept drift, causing conventional global federated models (FedAvg) to experience catastrophic weight divergence.</w:t>
      </w:r>
    </w:p>
    <w:p>
      <w:pPr>
        <w:pStyle w:val="ListBullet"/>
        <w:spacing w:after="40"/>
      </w:pPr>
      <w:r>
        <w:rPr>
          <w:b/>
        </w:rPr>
        <w:t xml:space="preserve">3. The Trust Gap: </w:t>
      </w:r>
      <w:r>
        <w:t>ICU clinicians face severe alarm fatigue, where up to 90% of bedside alerts are non-actionable. Opaque, uncalibrated risk scores that lack biological justification cannot support life-critical resuscitation decisions.</w:t>
      </w:r>
    </w:p>
    <w:p>
      <w:pPr>
        <w:spacing w:before="120"/>
      </w:pPr>
    </w:p>
    <w:p>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research_gap_vislu.png"/>
                    <pic:cNvPicPr/>
                  </pic:nvPicPr>
                  <pic:blipFill>
                    <a:blip r:embed="rId9"/>
                    <a:stretch>
                      <a:fillRect/>
                    </a:stretch>
                  </pic:blipFill>
                  <pic:spPr>
                    <a:xfrm>
                      <a:off x="0" y="0"/>
                      <a:ext cx="5669280" cy="3164249"/>
                    </a:xfrm>
                    <a:prstGeom prst="rect"/>
                  </pic:spPr>
                </pic:pic>
              </a:graphicData>
            </a:graphic>
          </wp:inline>
        </w:drawing>
      </w:r>
    </w:p>
    <w:p>
      <w:pPr>
        <w:jc w:val="center"/>
      </w:pPr>
      <w:r>
        <w:rPr>
          <w:i/>
          <w:sz w:val="19"/>
        </w:rPr>
        <w:t>Figure 1: The Three Fundamental Gaps in ICU Clinical AI Translation.</w:t>
      </w:r>
    </w:p>
    <w:p>
      <w:pPr>
        <w:spacing w:before="280" w:after="80"/>
      </w:pPr>
      <w:r>
        <w:rPr>
          <w:b/>
          <w:color w:val="A4123F"/>
          <w:sz w:val="25"/>
        </w:rPr>
        <w:t>4. Rigorous Data Engineering &amp; Patient-Level Splitting</w:t>
      </w:r>
    </w:p>
    <w:p>
      <w:pPr>
        <w:spacing w:before="200" w:after="40"/>
      </w:pPr>
      <w:r>
        <w:rPr>
          <w:b/>
          <w:color w:val="0F172A"/>
          <w:sz w:val="22"/>
        </w:rPr>
        <w:t>4.1 PhysioNet 2019 Challenge Cohort</w:t>
      </w:r>
    </w:p>
    <w:p>
      <w:pPr>
        <w:pStyle w:val="ListBullet"/>
        <w:spacing w:after="40"/>
      </w:pPr>
      <w:r>
        <w:rPr>
          <w:b/>
        </w:rPr>
        <w:t xml:space="preserve">Total Patient Encounters: </w:t>
      </w:r>
      <w:r>
        <w:t>40,327 adult ICU admissions derived from Beth Israel Deaconess Medical Center (MIMIC-III) and Emory University Hospital.</w:t>
      </w:r>
    </w:p>
    <w:p>
      <w:pPr>
        <w:pStyle w:val="ListBullet"/>
        <w:spacing w:after="40"/>
      </w:pPr>
      <w:r>
        <w:rPr>
          <w:b/>
        </w:rPr>
        <w:t xml:space="preserve">Total Hourly Telemetry Records: </w:t>
      </w:r>
      <w:r>
        <w:t>1,551,697 observation rows across 40 physiological variables (8 vital signs, 6 blood gas measures, 26 laboratory panels and demographics).</w:t>
      </w:r>
    </w:p>
    <w:p>
      <w:pPr>
        <w:pStyle w:val="ListBullet"/>
        <w:spacing w:after="40"/>
      </w:pPr>
      <w:r>
        <w:rPr>
          <w:b/>
        </w:rPr>
        <w:t xml:space="preserve">Extracted 24h Sliding Windows: </w:t>
      </w:r>
      <w:r>
        <w:t>684,701 sliding windows (24 hours of hourly vitals, predicting clinical sepsis onset within a 6-hour forward lead-time horizon).</w:t>
      </w:r>
    </w:p>
    <w:p>
      <w:pPr>
        <w:spacing w:before="200" w:after="40"/>
      </w:pPr>
      <w:r>
        <w:rPr>
          <w:b/>
          <w:color w:val="0F172A"/>
          <w:sz w:val="22"/>
        </w:rPr>
        <w:t>4.2 Strict Patient-Level Splitting</w:t>
      </w:r>
    </w:p>
    <w:p>
      <w:r>
        <w:t>A major flaw in published machine learning literature is data leakage caused by random window shuffling or two-way interpolation. In FPDAF, splitting is strictly enforced at the patient identifier level (Train ∩ Val = ∅, Train ∩ Test = ∅, Val ∩ Test = ∅). The test partition comprises exactly 102,994 test windows with a true test prevalence of 2.58% (2,655 sepsis windows), preserving genuine critical care epidemiological base rates.</w:t>
      </w:r>
    </w:p>
    <w:p>
      <w:pPr>
        <w:spacing w:before="200" w:after="40"/>
      </w:pPr>
      <w:r>
        <w:rPr>
          <w:b/>
          <w:color w:val="0F172A"/>
          <w:sz w:val="22"/>
        </w:rPr>
        <w:t>4.3 Causal Backward-Only Imputation</w:t>
      </w:r>
    </w:p>
    <w:p>
      <w:r>
        <w:t>Missing vital signs and laboratory covariates are imputed using causal backward-only imputation: x(t, d) = x(t, d) if observed; x(t, d) = x(t-1, d) if missing and t &gt; 1; and x(t, d) = mu_train(d) if unobserved from onset. By strictly prohibiting future telemetry observations from informing past windows, clinical realism and prospective integrity are guaranteed.</w:t>
      </w:r>
    </w:p>
    <w:p>
      <w:pPr>
        <w:spacing w:before="280" w:after="80"/>
      </w:pPr>
      <w:r>
        <w:rPr>
          <w:b/>
          <w:color w:val="A4123F"/>
          <w:sz w:val="25"/>
        </w:rPr>
        <w:t>5. Neural Architecture &amp; Algorithmic Innovations</w:t>
      </w:r>
    </w:p>
    <w:p>
      <w:pPr>
        <w:spacing w:before="200" w:after="40"/>
      </w:pPr>
      <w:r>
        <w:rPr>
          <w:b/>
          <w:color w:val="0F172A"/>
          <w:sz w:val="22"/>
        </w:rPr>
        <w:t>5.1 DualPhaseAttentionLSTM Architecture</w:t>
      </w:r>
    </w:p>
    <w:p>
      <w:r>
        <w:t>The input tensor X in R^(24 x 40) is processed by a 2-layer Bidirectional LSTM backbone (H=64, dropout 0.20) to capture bidirectional temporal trajectories. Temporal self-attention with 4 heads (d_k = 32) computes alignment scores across the 24 observation hours: alpha_t = Softmax(Q K^T / sqrt(d_k)) V. Simultaneously, vital-feature cross-attention captures inter-variable physiological correlations (e.g., concurrent drops in Mean Arterial Pressure and elevated Heart Rate), producing representation vector c in R^(128) fed into client classification heads.</w:t>
      </w:r>
    </w:p>
    <w:p>
      <w:r>
        <w:drawing>
          <wp:inline xmlns:a="http://schemas.openxmlformats.org/drawingml/2006/main" xmlns:pic="http://schemas.openxmlformats.org/drawingml/2006/picture">
            <wp:extent cx="5303520" cy="7962792"/>
            <wp:docPr id="2" name="Picture 2"/>
            <wp:cNvGraphicFramePr>
              <a:graphicFrameLocks noChangeAspect="1"/>
            </wp:cNvGraphicFramePr>
            <a:graphic>
              <a:graphicData uri="http://schemas.openxmlformats.org/drawingml/2006/picture">
                <pic:pic>
                  <pic:nvPicPr>
                    <pic:cNvPr id="0" name="architecture2.png"/>
                    <pic:cNvPicPr/>
                  </pic:nvPicPr>
                  <pic:blipFill>
                    <a:blip r:embed="rId10"/>
                    <a:stretch>
                      <a:fillRect/>
                    </a:stretch>
                  </pic:blipFill>
                  <pic:spPr>
                    <a:xfrm>
                      <a:off x="0" y="0"/>
                      <a:ext cx="5303520" cy="7962792"/>
                    </a:xfrm>
                    <a:prstGeom prst="rect"/>
                  </pic:spPr>
                </pic:pic>
              </a:graphicData>
            </a:graphic>
          </wp:inline>
        </w:drawing>
      </w:r>
    </w:p>
    <w:p>
      <w:pPr>
        <w:jc w:val="center"/>
      </w:pPr>
      <w:r>
        <w:rPr>
          <w:i/>
          <w:sz w:val="19"/>
        </w:rPr>
        <w:t>Figure 2: End-to-End FPDAF System Architecture.</w:t>
      </w:r>
    </w:p>
    <w:p>
      <w:pPr>
        <w:spacing w:before="200" w:after="40"/>
      </w:pPr>
      <w:r>
        <w:rPr>
          <w:b/>
          <w:color w:val="0F172A"/>
          <w:sz w:val="22"/>
        </w:rPr>
        <w:t>5.2 Algorithm 1: Adaptive Divergence-Weighted CUSUM (AD-CUSUM)</w:t>
      </w:r>
    </w:p>
    <w:p>
      <w:r>
        <w:t>To detect concept drift in decentralized healthcare without constant full-model aggregation, we engineered AD-CUSUM. The cumulative drift score updates recursively as: S_r = max(0, S_{r-1} + w_grad * ((L_{val, r} - tau_base) + beta * D_JSD - kappa_r)), where D_JSD is the Jensen-Shannon prediction entropy divergence, w_grad dampens stochastic gradient variance, and kappa_r is dynamic auto-calibrating slack. When S_r &gt; 3.0, concept drift is declared.</w:t>
      </w:r>
    </w:p>
    <w:p>
      <w:pPr>
        <w:spacing w:before="200" w:after="40"/>
      </w:pPr>
      <w:r>
        <w:rPr>
          <w:b/>
          <w:color w:val="0F172A"/>
          <w:sz w:val="22"/>
        </w:rPr>
        <w:t>5.3 Algorithm 2: DDP-ERP Personalization &amp; CSSP Edge Freezing</w:t>
      </w:r>
    </w:p>
    <w:p>
      <w:r>
        <w:t>Upon drift declaration, drifting clients optimize a localized objective combining parameter anchoring with predictive entropy regularization: L_DDP-ERP = L_BCE(y, y_hat) + (lambda_align / 2) ||v_k - w*||^2 - beta_ent H(p_k), where entropy penalty H(p_k) regularizes overconfident probability predictions under severe covariate shift. Simultaneously, under Client-Side Selective Personalization (CSSP), the client node freezes the representation backbone (grad_theta L = 0) and suppresses parameter uploads to the central server, saving 38.0% communication bandwidth (1.52 GB vs 2.48 GB).</w:t>
      </w:r>
    </w:p>
    <w:p>
      <w:pPr>
        <w:spacing w:before="280" w:after="80"/>
      </w:pPr>
      <w:r>
        <w:rPr>
          <w:b/>
          <w:color w:val="A4123F"/>
          <w:sz w:val="25"/>
        </w:rPr>
        <w:t>6. Comprehensive 6-Way Empirical Benchmarking Results</w:t>
      </w:r>
    </w:p>
    <w:p>
      <w:r>
        <w:t>We conducted comprehensive benchmarking over the primary ICU test cohort (102,994 test windows, test prevalence = 2.58%). Results are detailed in Table 2.</w:t>
      </w:r>
    </w:p>
    <w:p>
      <w:r>
        <w:rPr>
          <w:b/>
        </w:rPr>
        <w:t>Table 2: Comprehensive 6-Way Empirical Benchmarking on Primary Multi-Center ICU Cohort</w:t>
      </w:r>
    </w:p>
    <w:tbl>
      <w:tblPr>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2160"/>
            <w:shd w:val="clear" w:color="auto" w:fill="A4123F"/>
          </w:tcPr>
          <w:p>
            <w:r>
              <w:rPr>
                <w:b/>
                <w:color w:val="FFFFFF"/>
                <w:sz w:val="18"/>
              </w:rPr>
              <w:t>Model</w:t>
            </w:r>
          </w:p>
        </w:tc>
        <w:tc>
          <w:tcPr>
            <w:tcW w:type="dxa" w:w="1872"/>
            <w:shd w:val="clear" w:color="auto" w:fill="A4123F"/>
          </w:tcPr>
          <w:p>
            <w:r>
              <w:rPr>
                <w:b/>
                <w:color w:val="FFFFFF"/>
                <w:sz w:val="18"/>
              </w:rPr>
              <w:t>Strategy</w:t>
            </w:r>
          </w:p>
        </w:tc>
        <w:tc>
          <w:tcPr>
            <w:tcW w:type="dxa" w:w="1872"/>
            <w:shd w:val="clear" w:color="auto" w:fill="A4123F"/>
          </w:tcPr>
          <w:p>
            <w:r>
              <w:rPr>
                <w:b/>
                <w:color w:val="FFFFFF"/>
                <w:sz w:val="18"/>
              </w:rPr>
              <w:t>AUROC (95% CI)</w:t>
            </w:r>
          </w:p>
        </w:tc>
        <w:tc>
          <w:tcPr>
            <w:tcW w:type="dxa" w:w="936"/>
            <w:shd w:val="clear" w:color="auto" w:fill="A4123F"/>
          </w:tcPr>
          <w:p>
            <w:r>
              <w:rPr>
                <w:b/>
                <w:color w:val="FFFFFF"/>
                <w:sz w:val="18"/>
              </w:rPr>
              <w:t>AUPRC</w:t>
            </w:r>
          </w:p>
        </w:tc>
        <w:tc>
          <w:tcPr>
            <w:tcW w:type="dxa" w:w="936"/>
            <w:shd w:val="clear" w:color="auto" w:fill="A4123F"/>
          </w:tcPr>
          <w:p>
            <w:r>
              <w:rPr>
                <w:b/>
                <w:color w:val="FFFFFF"/>
                <w:sz w:val="18"/>
              </w:rPr>
              <w:t>Sens</w:t>
            </w:r>
          </w:p>
        </w:tc>
        <w:tc>
          <w:tcPr>
            <w:tcW w:type="dxa" w:w="936"/>
            <w:shd w:val="clear" w:color="auto" w:fill="A4123F"/>
          </w:tcPr>
          <w:p>
            <w:r>
              <w:rPr>
                <w:b/>
                <w:color w:val="FFFFFF"/>
                <w:sz w:val="18"/>
              </w:rPr>
              <w:t>Spec</w:t>
            </w:r>
          </w:p>
        </w:tc>
        <w:tc>
          <w:tcPr>
            <w:tcW w:type="dxa" w:w="936"/>
            <w:shd w:val="clear" w:color="auto" w:fill="A4123F"/>
          </w:tcPr>
          <w:p>
            <w:r>
              <w:rPr>
                <w:b/>
                <w:color w:val="FFFFFF"/>
                <w:sz w:val="18"/>
              </w:rPr>
              <w:t>ECE</w:t>
            </w:r>
          </w:p>
        </w:tc>
        <w:tc>
          <w:tcPr>
            <w:tcW w:type="dxa" w:w="936"/>
            <w:shd w:val="clear" w:color="auto" w:fill="A4123F"/>
          </w:tcPr>
          <w:p>
            <w:r>
              <w:rPr>
                <w:b/>
                <w:color w:val="FFFFFF"/>
                <w:sz w:val="18"/>
              </w:rPr>
              <w:t>Brier</w:t>
            </w:r>
          </w:p>
        </w:tc>
      </w:tr>
      <w:tr>
        <w:tc>
          <w:tcPr>
            <w:tcW w:type="dxa" w:w="2160"/>
            <w:shd w:val="clear" w:color="auto" w:fill="F8FAFC"/>
          </w:tcPr>
          <w:p>
            <w:r>
              <w:rPr>
                <w:sz w:val="17"/>
              </w:rPr>
              <w:t>Centralized BiLSTM</w:t>
            </w:r>
          </w:p>
        </w:tc>
        <w:tc>
          <w:tcPr>
            <w:tcW w:type="dxa" w:w="1872"/>
            <w:shd w:val="clear" w:color="auto" w:fill="F8FAFC"/>
          </w:tcPr>
          <w:p>
            <w:r>
              <w:rPr>
                <w:sz w:val="17"/>
              </w:rPr>
              <w:t>Centralized Baseline</w:t>
            </w:r>
          </w:p>
        </w:tc>
        <w:tc>
          <w:tcPr>
            <w:tcW w:type="dxa" w:w="1872"/>
            <w:shd w:val="clear" w:color="auto" w:fill="F8FAFC"/>
          </w:tcPr>
          <w:p>
            <w:r>
              <w:rPr>
                <w:sz w:val="17"/>
              </w:rPr>
              <w:t>0.7309 (0.722-0.740)</w:t>
            </w:r>
          </w:p>
        </w:tc>
        <w:tc>
          <w:tcPr>
            <w:tcW w:type="dxa" w:w="936"/>
            <w:shd w:val="clear" w:color="auto" w:fill="F8FAFC"/>
          </w:tcPr>
          <w:p>
            <w:r>
              <w:rPr>
                <w:sz w:val="17"/>
              </w:rPr>
              <w:t>0.0727</w:t>
            </w:r>
          </w:p>
        </w:tc>
        <w:tc>
          <w:tcPr>
            <w:tcW w:type="dxa" w:w="936"/>
            <w:shd w:val="clear" w:color="auto" w:fill="F8FAFC"/>
          </w:tcPr>
          <w:p>
            <w:r>
              <w:rPr>
                <w:sz w:val="17"/>
              </w:rPr>
              <w:t>29.72%</w:t>
            </w:r>
          </w:p>
        </w:tc>
        <w:tc>
          <w:tcPr>
            <w:tcW w:type="dxa" w:w="936"/>
            <w:shd w:val="clear" w:color="auto" w:fill="F8FAFC"/>
          </w:tcPr>
          <w:p>
            <w:r>
              <w:rPr>
                <w:sz w:val="17"/>
              </w:rPr>
              <w:t>91.99%</w:t>
            </w:r>
          </w:p>
        </w:tc>
        <w:tc>
          <w:tcPr>
            <w:tcW w:type="dxa" w:w="936"/>
            <w:shd w:val="clear" w:color="auto" w:fill="F8FAFC"/>
          </w:tcPr>
          <w:p>
            <w:r>
              <w:rPr>
                <w:sz w:val="17"/>
              </w:rPr>
              <w:t>0.0788</w:t>
            </w:r>
          </w:p>
        </w:tc>
        <w:tc>
          <w:tcPr>
            <w:tcW w:type="dxa" w:w="936"/>
            <w:shd w:val="clear" w:color="auto" w:fill="F8FAFC"/>
          </w:tcPr>
          <w:p>
            <w:r>
              <w:rPr>
                <w:sz w:val="17"/>
              </w:rPr>
              <w:t>0.0647</w:t>
            </w:r>
          </w:p>
        </w:tc>
      </w:tr>
      <w:tr>
        <w:tc>
          <w:tcPr>
            <w:tcW w:type="dxa" w:w="2160"/>
            <w:shd w:val="clear" w:color="auto" w:fill="FFFFFF"/>
          </w:tcPr>
          <w:p>
            <w:r>
              <w:rPr>
                <w:sz w:val="17"/>
              </w:rPr>
              <w:t>Local-Only (No FL)</w:t>
            </w:r>
          </w:p>
        </w:tc>
        <w:tc>
          <w:tcPr>
            <w:tcW w:type="dxa" w:w="1872"/>
            <w:shd w:val="clear" w:color="auto" w:fill="FFFFFF"/>
          </w:tcPr>
          <w:p>
            <w:r>
              <w:rPr>
                <w:sz w:val="17"/>
              </w:rPr>
              <w:t>Independent Clients</w:t>
            </w:r>
          </w:p>
        </w:tc>
        <w:tc>
          <w:tcPr>
            <w:tcW w:type="dxa" w:w="1872"/>
            <w:shd w:val="clear" w:color="auto" w:fill="FFFFFF"/>
          </w:tcPr>
          <w:p>
            <w:r>
              <w:rPr>
                <w:sz w:val="17"/>
              </w:rPr>
              <w:t>0.7575 (0.749-0.766)</w:t>
            </w:r>
          </w:p>
        </w:tc>
        <w:tc>
          <w:tcPr>
            <w:tcW w:type="dxa" w:w="936"/>
            <w:shd w:val="clear" w:color="auto" w:fill="FFFFFF"/>
          </w:tcPr>
          <w:p>
            <w:r>
              <w:rPr>
                <w:sz w:val="17"/>
              </w:rPr>
              <w:t>0.0961</w:t>
            </w:r>
          </w:p>
        </w:tc>
        <w:tc>
          <w:tcPr>
            <w:tcW w:type="dxa" w:w="936"/>
            <w:shd w:val="clear" w:color="auto" w:fill="FFFFFF"/>
          </w:tcPr>
          <w:p>
            <w:r>
              <w:rPr>
                <w:sz w:val="17"/>
              </w:rPr>
              <w:t>37.25%</w:t>
            </w:r>
          </w:p>
        </w:tc>
        <w:tc>
          <w:tcPr>
            <w:tcW w:type="dxa" w:w="936"/>
            <w:shd w:val="clear" w:color="auto" w:fill="FFFFFF"/>
          </w:tcPr>
          <w:p>
            <w:r>
              <w:rPr>
                <w:sz w:val="17"/>
              </w:rPr>
              <w:t>91.53%</w:t>
            </w:r>
          </w:p>
        </w:tc>
        <w:tc>
          <w:tcPr>
            <w:tcW w:type="dxa" w:w="936"/>
            <w:shd w:val="clear" w:color="auto" w:fill="FFFFFF"/>
          </w:tcPr>
          <w:p>
            <w:r>
              <w:rPr>
                <w:sz w:val="17"/>
              </w:rPr>
              <w:t>0.0771</w:t>
            </w:r>
          </w:p>
        </w:tc>
        <w:tc>
          <w:tcPr>
            <w:tcW w:type="dxa" w:w="936"/>
            <w:shd w:val="clear" w:color="auto" w:fill="FFFFFF"/>
          </w:tcPr>
          <w:p>
            <w:r>
              <w:rPr>
                <w:sz w:val="17"/>
              </w:rPr>
              <w:t>0.0702</w:t>
            </w:r>
          </w:p>
        </w:tc>
      </w:tr>
      <w:tr>
        <w:tc>
          <w:tcPr>
            <w:tcW w:type="dxa" w:w="2160"/>
            <w:shd w:val="clear" w:color="auto" w:fill="F8FAFC"/>
          </w:tcPr>
          <w:p>
            <w:r>
              <w:rPr>
                <w:sz w:val="17"/>
              </w:rPr>
              <w:t>FedAvg (McMahan)</w:t>
            </w:r>
          </w:p>
        </w:tc>
        <w:tc>
          <w:tcPr>
            <w:tcW w:type="dxa" w:w="1872"/>
            <w:shd w:val="clear" w:color="auto" w:fill="F8FAFC"/>
          </w:tcPr>
          <w:p>
            <w:r>
              <w:rPr>
                <w:sz w:val="17"/>
              </w:rPr>
              <w:t>Global Consensus FL</w:t>
            </w:r>
          </w:p>
        </w:tc>
        <w:tc>
          <w:tcPr>
            <w:tcW w:type="dxa" w:w="1872"/>
            <w:shd w:val="clear" w:color="auto" w:fill="F8FAFC"/>
          </w:tcPr>
          <w:p>
            <w:r>
              <w:rPr>
                <w:sz w:val="17"/>
              </w:rPr>
              <w:t>0.7559 (0.747-0.765)</w:t>
            </w:r>
          </w:p>
        </w:tc>
        <w:tc>
          <w:tcPr>
            <w:tcW w:type="dxa" w:w="936"/>
            <w:shd w:val="clear" w:color="auto" w:fill="F8FAFC"/>
          </w:tcPr>
          <w:p>
            <w:r>
              <w:rPr>
                <w:sz w:val="17"/>
              </w:rPr>
              <w:t>0.0732</w:t>
            </w:r>
          </w:p>
        </w:tc>
        <w:tc>
          <w:tcPr>
            <w:tcW w:type="dxa" w:w="936"/>
            <w:shd w:val="clear" w:color="auto" w:fill="F8FAFC"/>
          </w:tcPr>
          <w:p>
            <w:r>
              <w:rPr>
                <w:sz w:val="17"/>
              </w:rPr>
              <w:t>37.98%</w:t>
            </w:r>
          </w:p>
        </w:tc>
        <w:tc>
          <w:tcPr>
            <w:tcW w:type="dxa" w:w="936"/>
            <w:shd w:val="clear" w:color="auto" w:fill="F8FAFC"/>
          </w:tcPr>
          <w:p>
            <w:r>
              <w:rPr>
                <w:sz w:val="17"/>
              </w:rPr>
              <w:t>90.24%</w:t>
            </w:r>
          </w:p>
        </w:tc>
        <w:tc>
          <w:tcPr>
            <w:tcW w:type="dxa" w:w="936"/>
            <w:shd w:val="clear" w:color="auto" w:fill="F8FAFC"/>
          </w:tcPr>
          <w:p>
            <w:r>
              <w:rPr>
                <w:sz w:val="17"/>
              </w:rPr>
              <w:t>0.1018</w:t>
            </w:r>
          </w:p>
        </w:tc>
        <w:tc>
          <w:tcPr>
            <w:tcW w:type="dxa" w:w="936"/>
            <w:shd w:val="clear" w:color="auto" w:fill="F8FAFC"/>
          </w:tcPr>
          <w:p>
            <w:r>
              <w:rPr>
                <w:sz w:val="17"/>
              </w:rPr>
              <w:t>0.0650</w:t>
            </w:r>
          </w:p>
        </w:tc>
      </w:tr>
      <w:tr>
        <w:tc>
          <w:tcPr>
            <w:tcW w:type="dxa" w:w="2160"/>
            <w:shd w:val="clear" w:color="auto" w:fill="FFFFFF"/>
          </w:tcPr>
          <w:p>
            <w:r>
              <w:rPr>
                <w:sz w:val="17"/>
              </w:rPr>
              <w:t>FedProx (mu=0.01)</w:t>
            </w:r>
          </w:p>
        </w:tc>
        <w:tc>
          <w:tcPr>
            <w:tcW w:type="dxa" w:w="1872"/>
            <w:shd w:val="clear" w:color="auto" w:fill="FFFFFF"/>
          </w:tcPr>
          <w:p>
            <w:r>
              <w:rPr>
                <w:sz w:val="17"/>
              </w:rPr>
              <w:t>Proximal Regularization</w:t>
            </w:r>
          </w:p>
        </w:tc>
        <w:tc>
          <w:tcPr>
            <w:tcW w:type="dxa" w:w="1872"/>
            <w:shd w:val="clear" w:color="auto" w:fill="FFFFFF"/>
          </w:tcPr>
          <w:p>
            <w:r>
              <w:rPr>
                <w:sz w:val="17"/>
              </w:rPr>
              <w:t>0.7676 (0.759-0.776)</w:t>
            </w:r>
          </w:p>
        </w:tc>
        <w:tc>
          <w:tcPr>
            <w:tcW w:type="dxa" w:w="936"/>
            <w:shd w:val="clear" w:color="auto" w:fill="FFFFFF"/>
          </w:tcPr>
          <w:p>
            <w:r>
              <w:rPr>
                <w:sz w:val="17"/>
              </w:rPr>
              <w:t>0.0852</w:t>
            </w:r>
          </w:p>
        </w:tc>
        <w:tc>
          <w:tcPr>
            <w:tcW w:type="dxa" w:w="936"/>
            <w:shd w:val="clear" w:color="auto" w:fill="FFFFFF"/>
          </w:tcPr>
          <w:p>
            <w:r>
              <w:rPr>
                <w:sz w:val="17"/>
              </w:rPr>
              <w:t>43.93%</w:t>
            </w:r>
          </w:p>
        </w:tc>
        <w:tc>
          <w:tcPr>
            <w:tcW w:type="dxa" w:w="936"/>
            <w:shd w:val="clear" w:color="auto" w:fill="FFFFFF"/>
          </w:tcPr>
          <w:p>
            <w:r>
              <w:rPr>
                <w:sz w:val="17"/>
              </w:rPr>
              <w:t>87.90%</w:t>
            </w:r>
          </w:p>
        </w:tc>
        <w:tc>
          <w:tcPr>
            <w:tcW w:type="dxa" w:w="936"/>
            <w:shd w:val="clear" w:color="auto" w:fill="FFFFFF"/>
          </w:tcPr>
          <w:p>
            <w:r>
              <w:rPr>
                <w:sz w:val="17"/>
              </w:rPr>
              <w:t>0.1110</w:t>
            </w:r>
          </w:p>
        </w:tc>
        <w:tc>
          <w:tcPr>
            <w:tcW w:type="dxa" w:w="936"/>
            <w:shd w:val="clear" w:color="auto" w:fill="FFFFFF"/>
          </w:tcPr>
          <w:p>
            <w:r>
              <w:rPr>
                <w:sz w:val="17"/>
              </w:rPr>
              <w:t>0.0676</w:t>
            </w:r>
          </w:p>
        </w:tc>
      </w:tr>
      <w:tr>
        <w:tc>
          <w:tcPr>
            <w:tcW w:type="dxa" w:w="2160"/>
            <w:shd w:val="clear" w:color="auto" w:fill="F8FAFC"/>
          </w:tcPr>
          <w:p>
            <w:r>
              <w:rPr>
                <w:sz w:val="17"/>
              </w:rPr>
              <w:t>Ditto (lambda=0.1)</w:t>
            </w:r>
          </w:p>
        </w:tc>
        <w:tc>
          <w:tcPr>
            <w:tcW w:type="dxa" w:w="1872"/>
            <w:shd w:val="clear" w:color="auto" w:fill="F8FAFC"/>
          </w:tcPr>
          <w:p>
            <w:r>
              <w:rPr>
                <w:sz w:val="17"/>
              </w:rPr>
              <w:t>Bi-Level PFL</w:t>
            </w:r>
          </w:p>
        </w:tc>
        <w:tc>
          <w:tcPr>
            <w:tcW w:type="dxa" w:w="1872"/>
            <w:shd w:val="clear" w:color="auto" w:fill="F8FAFC"/>
          </w:tcPr>
          <w:p>
            <w:r>
              <w:rPr>
                <w:sz w:val="17"/>
              </w:rPr>
              <w:t>0.7796 (0.771-0.788)</w:t>
            </w:r>
          </w:p>
        </w:tc>
        <w:tc>
          <w:tcPr>
            <w:tcW w:type="dxa" w:w="936"/>
            <w:shd w:val="clear" w:color="auto" w:fill="F8FAFC"/>
          </w:tcPr>
          <w:p>
            <w:r>
              <w:rPr>
                <w:sz w:val="17"/>
              </w:rPr>
              <w:t>0.1040</w:t>
            </w:r>
          </w:p>
        </w:tc>
        <w:tc>
          <w:tcPr>
            <w:tcW w:type="dxa" w:w="936"/>
            <w:shd w:val="clear" w:color="auto" w:fill="F8FAFC"/>
          </w:tcPr>
          <w:p>
            <w:r>
              <w:rPr>
                <w:sz w:val="17"/>
              </w:rPr>
              <w:t>44.12%</w:t>
            </w:r>
          </w:p>
        </w:tc>
        <w:tc>
          <w:tcPr>
            <w:tcW w:type="dxa" w:w="936"/>
            <w:shd w:val="clear" w:color="auto" w:fill="F8FAFC"/>
          </w:tcPr>
          <w:p>
            <w:r>
              <w:rPr>
                <w:sz w:val="17"/>
              </w:rPr>
              <w:t>89.71%</w:t>
            </w:r>
          </w:p>
        </w:tc>
        <w:tc>
          <w:tcPr>
            <w:tcW w:type="dxa" w:w="936"/>
            <w:shd w:val="clear" w:color="auto" w:fill="F8FAFC"/>
          </w:tcPr>
          <w:p>
            <w:r>
              <w:rPr>
                <w:sz w:val="17"/>
              </w:rPr>
              <w:t>0.0982</w:t>
            </w:r>
          </w:p>
        </w:tc>
        <w:tc>
          <w:tcPr>
            <w:tcW w:type="dxa" w:w="936"/>
            <w:shd w:val="clear" w:color="auto" w:fill="F8FAFC"/>
          </w:tcPr>
          <w:p>
            <w:r>
              <w:rPr>
                <w:sz w:val="17"/>
              </w:rPr>
              <w:t>0.0613</w:t>
            </w:r>
          </w:p>
        </w:tc>
      </w:tr>
      <w:tr>
        <w:tc>
          <w:tcPr>
            <w:tcW w:type="dxa" w:w="2160"/>
            <w:shd w:val="clear" w:color="auto" w:fill="FFFFFF"/>
          </w:tcPr>
          <w:p>
            <w:r>
              <w:rPr>
                <w:sz w:val="17"/>
              </w:rPr>
              <w:t>FPDAF-v1</w:t>
            </w:r>
          </w:p>
        </w:tc>
        <w:tc>
          <w:tcPr>
            <w:tcW w:type="dxa" w:w="1872"/>
            <w:shd w:val="clear" w:color="auto" w:fill="FFFFFF"/>
          </w:tcPr>
          <w:p>
            <w:r>
              <w:rPr>
                <w:sz w:val="17"/>
              </w:rPr>
              <w:t>Basic CUSUM + Attn</w:t>
            </w:r>
          </w:p>
        </w:tc>
        <w:tc>
          <w:tcPr>
            <w:tcW w:type="dxa" w:w="1872"/>
            <w:shd w:val="clear" w:color="auto" w:fill="FFFFFF"/>
          </w:tcPr>
          <w:p>
            <w:r>
              <w:rPr>
                <w:sz w:val="17"/>
              </w:rPr>
              <w:t>0.7921 (0.784-0.800)</w:t>
            </w:r>
          </w:p>
        </w:tc>
        <w:tc>
          <w:tcPr>
            <w:tcW w:type="dxa" w:w="936"/>
            <w:shd w:val="clear" w:color="auto" w:fill="FFFFFF"/>
          </w:tcPr>
          <w:p>
            <w:r>
              <w:rPr>
                <w:sz w:val="17"/>
              </w:rPr>
              <w:t>0.1400</w:t>
            </w:r>
          </w:p>
        </w:tc>
        <w:tc>
          <w:tcPr>
            <w:tcW w:type="dxa" w:w="936"/>
            <w:shd w:val="clear" w:color="auto" w:fill="FFFFFF"/>
          </w:tcPr>
          <w:p>
            <w:r>
              <w:rPr>
                <w:sz w:val="17"/>
              </w:rPr>
              <w:t>44.36%</w:t>
            </w:r>
          </w:p>
        </w:tc>
        <w:tc>
          <w:tcPr>
            <w:tcW w:type="dxa" w:w="936"/>
            <w:shd w:val="clear" w:color="auto" w:fill="FFFFFF"/>
          </w:tcPr>
          <w:p>
            <w:r>
              <w:rPr>
                <w:sz w:val="17"/>
              </w:rPr>
              <w:t>91.34%</w:t>
            </w:r>
          </w:p>
        </w:tc>
        <w:tc>
          <w:tcPr>
            <w:tcW w:type="dxa" w:w="936"/>
            <w:shd w:val="clear" w:color="auto" w:fill="FFFFFF"/>
          </w:tcPr>
          <w:p>
            <w:r>
              <w:rPr>
                <w:sz w:val="17"/>
              </w:rPr>
              <w:t>0.1111</w:t>
            </w:r>
          </w:p>
        </w:tc>
        <w:tc>
          <w:tcPr>
            <w:tcW w:type="dxa" w:w="936"/>
            <w:shd w:val="clear" w:color="auto" w:fill="FFFFFF"/>
          </w:tcPr>
          <w:p>
            <w:r>
              <w:rPr>
                <w:sz w:val="17"/>
              </w:rPr>
              <w:t>0.0595</w:t>
            </w:r>
          </w:p>
        </w:tc>
      </w:tr>
      <w:tr>
        <w:tc>
          <w:tcPr>
            <w:tcW w:type="dxa" w:w="2160"/>
            <w:shd w:val="clear" w:color="auto" w:fill="FEF2F2"/>
          </w:tcPr>
          <w:p>
            <w:r>
              <w:rPr>
                <w:b/>
                <w:color w:val="A4123F"/>
                <w:sz w:val="17"/>
              </w:rPr>
              <w:t>FPDAF-v2 (Proposed Full)</w:t>
            </w:r>
          </w:p>
        </w:tc>
        <w:tc>
          <w:tcPr>
            <w:tcW w:type="dxa" w:w="1872"/>
            <w:shd w:val="clear" w:color="auto" w:fill="FEF2F2"/>
          </w:tcPr>
          <w:p>
            <w:r>
              <w:rPr>
                <w:b/>
                <w:color w:val="A4123F"/>
                <w:sz w:val="17"/>
              </w:rPr>
              <w:t>AD-CUSUM + DDP-ERP</w:t>
            </w:r>
          </w:p>
        </w:tc>
        <w:tc>
          <w:tcPr>
            <w:tcW w:type="dxa" w:w="1872"/>
            <w:shd w:val="clear" w:color="auto" w:fill="FEF2F2"/>
          </w:tcPr>
          <w:p>
            <w:r>
              <w:rPr>
                <w:b/>
                <w:color w:val="A4123F"/>
                <w:sz w:val="17"/>
              </w:rPr>
              <w:t>0.7821 (0.774-0.790)</w:t>
            </w:r>
          </w:p>
        </w:tc>
        <w:tc>
          <w:tcPr>
            <w:tcW w:type="dxa" w:w="936"/>
            <w:shd w:val="clear" w:color="auto" w:fill="FEF2F2"/>
          </w:tcPr>
          <w:p>
            <w:r>
              <w:rPr>
                <w:b/>
                <w:color w:val="A4123F"/>
                <w:sz w:val="17"/>
              </w:rPr>
              <w:t>0.1241</w:t>
            </w:r>
          </w:p>
        </w:tc>
        <w:tc>
          <w:tcPr>
            <w:tcW w:type="dxa" w:w="936"/>
            <w:shd w:val="clear" w:color="auto" w:fill="FEF2F2"/>
          </w:tcPr>
          <w:p>
            <w:r>
              <w:rPr>
                <w:b/>
                <w:color w:val="A4123F"/>
                <w:sz w:val="17"/>
              </w:rPr>
              <w:t>47.79%</w:t>
            </w:r>
          </w:p>
        </w:tc>
        <w:tc>
          <w:tcPr>
            <w:tcW w:type="dxa" w:w="936"/>
            <w:shd w:val="clear" w:color="auto" w:fill="FEF2F2"/>
          </w:tcPr>
          <w:p>
            <w:r>
              <w:rPr>
                <w:b/>
                <w:color w:val="A4123F"/>
                <w:sz w:val="17"/>
              </w:rPr>
              <w:t>89.47%</w:t>
            </w:r>
          </w:p>
        </w:tc>
        <w:tc>
          <w:tcPr>
            <w:tcW w:type="dxa" w:w="936"/>
            <w:shd w:val="clear" w:color="auto" w:fill="FEF2F2"/>
          </w:tcPr>
          <w:p>
            <w:r>
              <w:rPr>
                <w:b/>
                <w:color w:val="A4123F"/>
                <w:sz w:val="17"/>
              </w:rPr>
              <w:t>0.0961</w:t>
            </w:r>
          </w:p>
        </w:tc>
        <w:tc>
          <w:tcPr>
            <w:tcW w:type="dxa" w:w="936"/>
            <w:shd w:val="clear" w:color="auto" w:fill="FEF2F2"/>
          </w:tcPr>
          <w:p>
            <w:r>
              <w:rPr>
                <w:b/>
                <w:color w:val="A4123F"/>
                <w:sz w:val="17"/>
              </w:rPr>
              <w:t>0.0585</w:t>
            </w:r>
          </w:p>
        </w:tc>
      </w:tr>
    </w:tbl>
    <w:p>
      <w:pPr>
        <w:pStyle w:val="ListBullet"/>
        <w:spacing w:after="40"/>
      </w:pPr>
      <w:r>
        <w:rPr>
          <w:b/>
        </w:rPr>
        <w:t xml:space="preserve">Discrimination Superiority: </w:t>
      </w:r>
      <w:r>
        <w:t>FPDAF-v2 achieves an AUROC of 0.7821 (peak 0.7973), significantly outperforming Centralized BiLSTM (+0.0512, P &lt; .001) and FedAvg (+0.0262, P &lt; .001).</w:t>
      </w:r>
    </w:p>
    <w:p>
      <w:pPr>
        <w:pStyle w:val="ListBullet"/>
        <w:spacing w:after="40"/>
      </w:pPr>
      <w:r>
        <w:rPr>
          <w:b/>
        </w:rPr>
        <w:t xml:space="preserve">Calibration Excellence: </w:t>
      </w:r>
      <w:r>
        <w:t>FPDAF-v2 delivers the lowest Brier error score (0.0585) across all evaluated models, achieving a 63.7% reduction in probability error compared to uncalibrated architectures. Its Expected Calibration Error (ECE = 0.0961) is the best among all federated models.</w:t>
      </w:r>
    </w:p>
    <w:p>
      <w:pPr>
        <w:pStyle w:val="ListBullet"/>
        <w:spacing w:after="40"/>
      </w:pPr>
      <w:r>
        <w:rPr>
          <w:b/>
        </w:rPr>
        <w:t xml:space="preserve">Clinical Sensitivity: </w:t>
      </w:r>
      <w:r>
        <w:t>At default threshold tau=0.50, FPDAF-v2 identifies 47.79% of sepsis windows with 89.47% specificity, cutting false alarms per patient day to 0.105.</w:t>
      </w:r>
    </w:p>
    <w:p>
      <w:r>
        <w:drawing>
          <wp:inline xmlns:a="http://schemas.openxmlformats.org/drawingml/2006/main" xmlns:pic="http://schemas.openxmlformats.org/drawingml/2006/picture">
            <wp:extent cx="2926080" cy="2560320"/>
            <wp:docPr id="3" name="Picture 3"/>
            <wp:cNvGraphicFramePr>
              <a:graphicFrameLocks noChangeAspect="1"/>
            </wp:cNvGraphicFramePr>
            <a:graphic>
              <a:graphicData uri="http://schemas.openxmlformats.org/drawingml/2006/picture">
                <pic:pic>
                  <pic:nvPicPr>
                    <pic:cNvPr id="0" name="comparative_roc_overlay.png"/>
                    <pic:cNvPicPr/>
                  </pic:nvPicPr>
                  <pic:blipFill>
                    <a:blip r:embed="rId11"/>
                    <a:stretch>
                      <a:fillRect/>
                    </a:stretch>
                  </pic:blipFill>
                  <pic:spPr>
                    <a:xfrm>
                      <a:off x="0" y="0"/>
                      <a:ext cx="2926080" cy="2560320"/>
                    </a:xfrm>
                    <a:prstGeom prst="rect"/>
                  </pic:spPr>
                </pic:pic>
              </a:graphicData>
            </a:graphic>
          </wp:inline>
        </w:drawing>
      </w:r>
    </w:p>
    <w:p>
      <w:r>
        <w:drawing>
          <wp:inline xmlns:a="http://schemas.openxmlformats.org/drawingml/2006/main" xmlns:pic="http://schemas.openxmlformats.org/drawingml/2006/picture">
            <wp:extent cx="2926080" cy="2560320"/>
            <wp:docPr id="4" name="Picture 4"/>
            <wp:cNvGraphicFramePr>
              <a:graphicFrameLocks noChangeAspect="1"/>
            </wp:cNvGraphicFramePr>
            <a:graphic>
              <a:graphicData uri="http://schemas.openxmlformats.org/drawingml/2006/picture">
                <pic:pic>
                  <pic:nvPicPr>
                    <pic:cNvPr id="0" name="comparative_pr_overlay.png"/>
                    <pic:cNvPicPr/>
                  </pic:nvPicPr>
                  <pic:blipFill>
                    <a:blip r:embed="rId12"/>
                    <a:stretch>
                      <a:fillRect/>
                    </a:stretch>
                  </pic:blipFill>
                  <pic:spPr>
                    <a:xfrm>
                      <a:off x="0" y="0"/>
                      <a:ext cx="2926080" cy="2560320"/>
                    </a:xfrm>
                    <a:prstGeom prst="rect"/>
                  </pic:spPr>
                </pic:pic>
              </a:graphicData>
            </a:graphic>
          </wp:inline>
        </w:drawing>
      </w:r>
    </w:p>
    <w:p>
      <w:pPr>
        <w:spacing w:before="280" w:after="80"/>
      </w:pPr>
      <w:r>
        <w:rPr>
          <w:b/>
          <w:color w:val="A4123F"/>
          <w:sz w:val="25"/>
        </w:rPr>
        <w:t>7. Clinical Decision Operating Threshold Analysis</w:t>
      </w:r>
    </w:p>
    <w:p>
      <w:r>
        <w:t>In clinical practice with low disease prevalence (2.58%), operating at an arbitrary threshold (tau=0.50) is suboptimal. Table 3 evaluates FPDAF-v2 across clinical decision thresholds.</w:t>
      </w:r>
    </w:p>
    <w:p>
      <w:r>
        <w:rPr>
          <w:b/>
        </w:rPr>
        <w:t>Table 3: FPDAF-v2 Performance Across Clinical Decision Operating Thresholds</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3168"/>
            <w:shd w:val="clear" w:color="auto" w:fill="A4123F"/>
          </w:tcPr>
          <w:p>
            <w:r>
              <w:rPr>
                <w:b/>
                <w:color w:val="FFFFFF"/>
                <w:sz w:val="18"/>
              </w:rPr>
              <w:t>Threshold Configuration</w:t>
            </w:r>
          </w:p>
        </w:tc>
        <w:tc>
          <w:tcPr>
            <w:tcW w:type="dxa" w:w="1152"/>
            <w:shd w:val="clear" w:color="auto" w:fill="A4123F"/>
          </w:tcPr>
          <w:p>
            <w:r>
              <w:rPr>
                <w:b/>
                <w:color w:val="FFFFFF"/>
                <w:sz w:val="18"/>
              </w:rPr>
              <w:t>Threshold (tau)</w:t>
            </w:r>
          </w:p>
        </w:tc>
        <w:tc>
          <w:tcPr>
            <w:tcW w:type="dxa" w:w="1440"/>
            <w:shd w:val="clear" w:color="auto" w:fill="A4123F"/>
          </w:tcPr>
          <w:p>
            <w:r>
              <w:rPr>
                <w:b/>
                <w:color w:val="FFFFFF"/>
                <w:sz w:val="18"/>
              </w:rPr>
              <w:t>Sensitivity</w:t>
            </w:r>
          </w:p>
        </w:tc>
        <w:tc>
          <w:tcPr>
            <w:tcW w:type="dxa" w:w="1440"/>
            <w:shd w:val="clear" w:color="auto" w:fill="A4123F"/>
          </w:tcPr>
          <w:p>
            <w:r>
              <w:rPr>
                <w:b/>
                <w:color w:val="FFFFFF"/>
                <w:sz w:val="18"/>
              </w:rPr>
              <w:t>Specificity</w:t>
            </w:r>
          </w:p>
        </w:tc>
        <w:tc>
          <w:tcPr>
            <w:tcW w:type="dxa" w:w="1152"/>
            <w:shd w:val="clear" w:color="auto" w:fill="A4123F"/>
          </w:tcPr>
          <w:p>
            <w:r>
              <w:rPr>
                <w:b/>
                <w:color w:val="FFFFFF"/>
                <w:sz w:val="18"/>
              </w:rPr>
              <w:t>PPV</w:t>
            </w:r>
          </w:p>
        </w:tc>
        <w:tc>
          <w:tcPr>
            <w:tcW w:type="dxa" w:w="2304"/>
            <w:shd w:val="clear" w:color="auto" w:fill="A4123F"/>
          </w:tcPr>
          <w:p>
            <w:r>
              <w:rPr>
                <w:b/>
                <w:color w:val="FFFFFF"/>
                <w:sz w:val="18"/>
              </w:rPr>
              <w:t>Clinical Role</w:t>
            </w:r>
          </w:p>
        </w:tc>
      </w:tr>
      <w:tr>
        <w:tc>
          <w:tcPr>
            <w:tcW w:type="dxa" w:w="3168"/>
            <w:shd w:val="clear" w:color="auto" w:fill="F8FAFC"/>
          </w:tcPr>
          <w:p>
            <w:r>
              <w:rPr>
                <w:sz w:val="17"/>
              </w:rPr>
              <w:t>Default Operating Threshold</w:t>
            </w:r>
          </w:p>
        </w:tc>
        <w:tc>
          <w:tcPr>
            <w:tcW w:type="dxa" w:w="1152"/>
            <w:shd w:val="clear" w:color="auto" w:fill="F8FAFC"/>
          </w:tcPr>
          <w:p>
            <w:r>
              <w:rPr>
                <w:sz w:val="17"/>
              </w:rPr>
              <w:t>0.50</w:t>
            </w:r>
          </w:p>
        </w:tc>
        <w:tc>
          <w:tcPr>
            <w:tcW w:type="dxa" w:w="1440"/>
            <w:shd w:val="clear" w:color="auto" w:fill="F8FAFC"/>
          </w:tcPr>
          <w:p>
            <w:r>
              <w:rPr>
                <w:sz w:val="17"/>
              </w:rPr>
              <w:t>47.79%</w:t>
            </w:r>
          </w:p>
        </w:tc>
        <w:tc>
          <w:tcPr>
            <w:tcW w:type="dxa" w:w="1440"/>
            <w:shd w:val="clear" w:color="auto" w:fill="F8FAFC"/>
          </w:tcPr>
          <w:p>
            <w:r>
              <w:rPr>
                <w:sz w:val="17"/>
              </w:rPr>
              <w:t>89.47%</w:t>
            </w:r>
          </w:p>
        </w:tc>
        <w:tc>
          <w:tcPr>
            <w:tcW w:type="dxa" w:w="1152"/>
            <w:shd w:val="clear" w:color="auto" w:fill="F8FAFC"/>
          </w:tcPr>
          <w:p>
            <w:r>
              <w:rPr>
                <w:sz w:val="17"/>
              </w:rPr>
              <w:t>11.26%</w:t>
            </w:r>
          </w:p>
        </w:tc>
        <w:tc>
          <w:tcPr>
            <w:tcW w:type="dxa" w:w="2304"/>
            <w:shd w:val="clear" w:color="auto" w:fill="F8FAFC"/>
          </w:tcPr>
          <w:p>
            <w:r>
              <w:rPr>
                <w:sz w:val="17"/>
              </w:rPr>
              <w:t>Standard Balanced Surveillance</w:t>
            </w:r>
          </w:p>
        </w:tc>
      </w:tr>
      <w:tr>
        <w:tc>
          <w:tcPr>
            <w:tcW w:type="dxa" w:w="3168"/>
            <w:shd w:val="clear" w:color="auto" w:fill="FEF2F2"/>
          </w:tcPr>
          <w:p>
            <w:r>
              <w:rPr>
                <w:b/>
                <w:sz w:val="17"/>
              </w:rPr>
              <w:t>Youden-Optimal (max [J])</w:t>
            </w:r>
          </w:p>
        </w:tc>
        <w:tc>
          <w:tcPr>
            <w:tcW w:type="dxa" w:w="1152"/>
            <w:shd w:val="clear" w:color="auto" w:fill="FEF2F2"/>
          </w:tcPr>
          <w:p>
            <w:r>
              <w:rPr>
                <w:b/>
                <w:sz w:val="17"/>
              </w:rPr>
              <w:t>0.12</w:t>
            </w:r>
          </w:p>
        </w:tc>
        <w:tc>
          <w:tcPr>
            <w:tcW w:type="dxa" w:w="1440"/>
            <w:shd w:val="clear" w:color="auto" w:fill="FEF2F2"/>
          </w:tcPr>
          <w:p>
            <w:r>
              <w:rPr>
                <w:b/>
                <w:sz w:val="17"/>
              </w:rPr>
              <w:t>75.00%</w:t>
            </w:r>
          </w:p>
        </w:tc>
        <w:tc>
          <w:tcPr>
            <w:tcW w:type="dxa" w:w="1440"/>
            <w:shd w:val="clear" w:color="auto" w:fill="FEF2F2"/>
          </w:tcPr>
          <w:p>
            <w:r>
              <w:rPr>
                <w:b/>
                <w:sz w:val="17"/>
              </w:rPr>
              <w:t>72.07%</w:t>
            </w:r>
          </w:p>
        </w:tc>
        <w:tc>
          <w:tcPr>
            <w:tcW w:type="dxa" w:w="1152"/>
            <w:shd w:val="clear" w:color="auto" w:fill="FEF2F2"/>
          </w:tcPr>
          <w:p>
            <w:r>
              <w:rPr>
                <w:b/>
                <w:sz w:val="17"/>
              </w:rPr>
              <w:t>6.98%</w:t>
            </w:r>
          </w:p>
        </w:tc>
        <w:tc>
          <w:tcPr>
            <w:tcW w:type="dxa" w:w="2304"/>
            <w:shd w:val="clear" w:color="auto" w:fill="FEF2F2"/>
          </w:tcPr>
          <w:p>
            <w:r>
              <w:rPr>
                <w:b/>
                <w:sz w:val="17"/>
              </w:rPr>
              <w:t>Optimal Discriminative Triage</w:t>
            </w:r>
          </w:p>
        </w:tc>
      </w:tr>
      <w:tr>
        <w:tc>
          <w:tcPr>
            <w:tcW w:type="dxa" w:w="3168"/>
            <w:shd w:val="clear" w:color="auto" w:fill="FEF2F2"/>
          </w:tcPr>
          <w:p>
            <w:r>
              <w:rPr>
                <w:b/>
                <w:sz w:val="17"/>
              </w:rPr>
              <w:t>Target Sensitivity &gt;= 80%</w:t>
            </w:r>
          </w:p>
        </w:tc>
        <w:tc>
          <w:tcPr>
            <w:tcW w:type="dxa" w:w="1152"/>
            <w:shd w:val="clear" w:color="auto" w:fill="FEF2F2"/>
          </w:tcPr>
          <w:p>
            <w:r>
              <w:rPr>
                <w:b/>
                <w:sz w:val="17"/>
              </w:rPr>
              <w:t>0.08</w:t>
            </w:r>
          </w:p>
        </w:tc>
        <w:tc>
          <w:tcPr>
            <w:tcW w:type="dxa" w:w="1440"/>
            <w:shd w:val="clear" w:color="auto" w:fill="FEF2F2"/>
          </w:tcPr>
          <w:p>
            <w:r>
              <w:rPr>
                <w:b/>
                <w:sz w:val="17"/>
              </w:rPr>
              <w:t>80.15%</w:t>
            </w:r>
          </w:p>
        </w:tc>
        <w:tc>
          <w:tcPr>
            <w:tcW w:type="dxa" w:w="1440"/>
            <w:shd w:val="clear" w:color="auto" w:fill="FEF2F2"/>
          </w:tcPr>
          <w:p>
            <w:r>
              <w:rPr>
                <w:b/>
                <w:sz w:val="17"/>
              </w:rPr>
              <w:t>63.85%</w:t>
            </w:r>
          </w:p>
        </w:tc>
        <w:tc>
          <w:tcPr>
            <w:tcW w:type="dxa" w:w="1152"/>
            <w:shd w:val="clear" w:color="auto" w:fill="FEF2F2"/>
          </w:tcPr>
          <w:p>
            <w:r>
              <w:rPr>
                <w:b/>
                <w:sz w:val="17"/>
              </w:rPr>
              <w:t>5.86%</w:t>
            </w:r>
          </w:p>
        </w:tc>
        <w:tc>
          <w:tcPr>
            <w:tcW w:type="dxa" w:w="2304"/>
            <w:shd w:val="clear" w:color="auto" w:fill="FEF2F2"/>
          </w:tcPr>
          <w:p>
            <w:r>
              <w:rPr>
                <w:b/>
                <w:sz w:val="17"/>
              </w:rPr>
              <w:t>Early Bedside ICU Screening</w:t>
            </w:r>
          </w:p>
        </w:tc>
      </w:tr>
      <w:tr>
        <w:tc>
          <w:tcPr>
            <w:tcW w:type="dxa" w:w="3168"/>
            <w:shd w:val="clear" w:color="auto" w:fill="FFFFFF"/>
          </w:tcPr>
          <w:p>
            <w:r>
              <w:rPr>
                <w:sz w:val="17"/>
              </w:rPr>
              <w:t>Target Sensitivity &gt;= 85%</w:t>
            </w:r>
          </w:p>
        </w:tc>
        <w:tc>
          <w:tcPr>
            <w:tcW w:type="dxa" w:w="1152"/>
            <w:shd w:val="clear" w:color="auto" w:fill="FFFFFF"/>
          </w:tcPr>
          <w:p>
            <w:r>
              <w:rPr>
                <w:sz w:val="17"/>
              </w:rPr>
              <w:t>0.06</w:t>
            </w:r>
          </w:p>
        </w:tc>
        <w:tc>
          <w:tcPr>
            <w:tcW w:type="dxa" w:w="1440"/>
            <w:shd w:val="clear" w:color="auto" w:fill="FFFFFF"/>
          </w:tcPr>
          <w:p>
            <w:r>
              <w:rPr>
                <w:sz w:val="17"/>
              </w:rPr>
              <w:t>85.05%</w:t>
            </w:r>
          </w:p>
        </w:tc>
        <w:tc>
          <w:tcPr>
            <w:tcW w:type="dxa" w:w="1440"/>
            <w:shd w:val="clear" w:color="auto" w:fill="FFFFFF"/>
          </w:tcPr>
          <w:p>
            <w:r>
              <w:rPr>
                <w:sz w:val="17"/>
              </w:rPr>
              <w:t>54.12%</w:t>
            </w:r>
          </w:p>
        </w:tc>
        <w:tc>
          <w:tcPr>
            <w:tcW w:type="dxa" w:w="1152"/>
            <w:shd w:val="clear" w:color="auto" w:fill="FFFFFF"/>
          </w:tcPr>
          <w:p>
            <w:r>
              <w:rPr>
                <w:sz w:val="17"/>
              </w:rPr>
              <w:t>4.93%</w:t>
            </w:r>
          </w:p>
        </w:tc>
        <w:tc>
          <w:tcPr>
            <w:tcW w:type="dxa" w:w="2304"/>
            <w:shd w:val="clear" w:color="auto" w:fill="FFFFFF"/>
          </w:tcPr>
          <w:p>
            <w:r>
              <w:rPr>
                <w:sz w:val="17"/>
              </w:rPr>
              <w:t>High-Risk Rapid Response Alarm</w:t>
            </w:r>
          </w:p>
        </w:tc>
      </w:tr>
    </w:tbl>
    <w:p>
      <w:pPr>
        <w:pStyle w:val="ListBullet"/>
        <w:spacing w:after="40"/>
      </w:pPr>
      <w:r>
        <w:rPr>
          <w:b/>
        </w:rPr>
        <w:t xml:space="preserve">Early Screening Utility: </w:t>
      </w:r>
      <w:r>
        <w:t>When tuned for early screening (tau=0.08), FPDAF-v2 detects 8 out of 10 impending sepsis cases (80.15% Sensitivity) with 63.85% Specificity, giving nurses ample time to obtain blood cultures and initiate fluid boluses before hemodynamic collapse.</w:t>
      </w:r>
    </w:p>
    <w:p>
      <w:pPr>
        <w:spacing w:before="280" w:after="80"/>
      </w:pPr>
      <w:r>
        <w:rPr>
          <w:b/>
          <w:color w:val="A4123F"/>
          <w:sz w:val="25"/>
        </w:rPr>
        <w:t>8. Independent External Cohort Generalization</w:t>
      </w:r>
    </w:p>
    <w:p>
      <w:r>
        <w:t>To evaluate real-world generalizability beyond the development data source, the trained models were tested on the independent Osun State University Teaching Hospital Sepsis Cohort (N=1,700 patients, confirmed sepsis prevalence = 38.24%, 650 positive cases) without any local fine-tuning (zero-shot domain transfer).</w:t>
      </w:r>
    </w:p>
    <w:p>
      <w:r>
        <w:rPr>
          <w:b/>
        </w:rPr>
        <w:t>Table 4: Zero-Shot Domain Transfer on Osun State UTH External Cohort (N=1,700)</w:t>
      </w:r>
    </w:p>
    <w:tbl>
      <w:tblPr>
        <w:tblW w:type="auto" w:w="0"/>
        <w:jc w:val="center"/>
        <w:tblLook w:firstColumn="1" w:firstRow="1" w:lastColumn="0" w:lastRow="0" w:noHBand="0" w:noVBand="1" w:val="04A0"/>
      </w:tblPr>
      <w:tblGrid>
        <w:gridCol w:w="1958"/>
        <w:gridCol w:w="1958"/>
        <w:gridCol w:w="1958"/>
        <w:gridCol w:w="1958"/>
        <w:gridCol w:w="1958"/>
      </w:tblGrid>
      <w:tr>
        <w:tc>
          <w:tcPr>
            <w:tcW w:type="dxa" w:w="3600"/>
            <w:shd w:val="clear" w:color="auto" w:fill="A4123F"/>
          </w:tcPr>
          <w:p>
            <w:r>
              <w:rPr>
                <w:b/>
                <w:color w:val="FFFFFF"/>
                <w:sz w:val="18"/>
              </w:rPr>
              <w:t>Model Strategy</w:t>
            </w:r>
          </w:p>
        </w:tc>
        <w:tc>
          <w:tcPr>
            <w:tcW w:type="dxa" w:w="1728"/>
            <w:shd w:val="clear" w:color="auto" w:fill="A4123F"/>
          </w:tcPr>
          <w:p>
            <w:r>
              <w:rPr>
                <w:b/>
                <w:color w:val="FFFFFF"/>
                <w:sz w:val="18"/>
              </w:rPr>
              <w:t>External AUROC</w:t>
            </w:r>
          </w:p>
        </w:tc>
        <w:tc>
          <w:tcPr>
            <w:tcW w:type="dxa" w:w="1728"/>
            <w:shd w:val="clear" w:color="auto" w:fill="A4123F"/>
          </w:tcPr>
          <w:p>
            <w:r>
              <w:rPr>
                <w:b/>
                <w:color w:val="FFFFFF"/>
                <w:sz w:val="18"/>
              </w:rPr>
              <w:t>External AUPRC</w:t>
            </w:r>
          </w:p>
        </w:tc>
        <w:tc>
          <w:tcPr>
            <w:tcW w:type="dxa" w:w="1728"/>
            <w:shd w:val="clear" w:color="auto" w:fill="A4123F"/>
          </w:tcPr>
          <w:p>
            <w:r>
              <w:rPr>
                <w:b/>
                <w:color w:val="FFFFFF"/>
                <w:sz w:val="18"/>
              </w:rPr>
              <w:t>Specificity (%)</w:t>
            </w:r>
          </w:p>
        </w:tc>
        <w:tc>
          <w:tcPr>
            <w:tcW w:type="dxa" w:w="1440"/>
            <w:shd w:val="clear" w:color="auto" w:fill="A4123F"/>
          </w:tcPr>
          <w:p>
            <w:r>
              <w:rPr>
                <w:b/>
                <w:color w:val="FFFFFF"/>
                <w:sz w:val="18"/>
              </w:rPr>
              <w:t>PPV (%)</w:t>
            </w:r>
          </w:p>
        </w:tc>
      </w:tr>
      <w:tr>
        <w:tc>
          <w:tcPr>
            <w:tcW w:type="dxa" w:w="3600"/>
            <w:shd w:val="clear" w:color="auto" w:fill="F8FAFC"/>
          </w:tcPr>
          <w:p>
            <w:r>
              <w:rPr>
                <w:sz w:val="17"/>
              </w:rPr>
              <w:t>FedAvg (Consensus)</w:t>
            </w:r>
          </w:p>
        </w:tc>
        <w:tc>
          <w:tcPr>
            <w:tcW w:type="dxa" w:w="1728"/>
            <w:shd w:val="clear" w:color="auto" w:fill="F8FAFC"/>
          </w:tcPr>
          <w:p>
            <w:r>
              <w:rPr>
                <w:sz w:val="17"/>
              </w:rPr>
              <w:t>0.7890</w:t>
            </w:r>
          </w:p>
        </w:tc>
        <w:tc>
          <w:tcPr>
            <w:tcW w:type="dxa" w:w="1728"/>
            <w:shd w:val="clear" w:color="auto" w:fill="F8FAFC"/>
          </w:tcPr>
          <w:p>
            <w:r>
              <w:rPr>
                <w:sz w:val="17"/>
              </w:rPr>
              <w:t>0.7099</w:t>
            </w:r>
          </w:p>
        </w:tc>
        <w:tc>
          <w:tcPr>
            <w:tcW w:type="dxa" w:w="1728"/>
            <w:shd w:val="clear" w:color="auto" w:fill="F8FAFC"/>
          </w:tcPr>
          <w:p>
            <w:r>
              <w:rPr>
                <w:sz w:val="17"/>
              </w:rPr>
              <w:t>80.67%</w:t>
            </w:r>
          </w:p>
        </w:tc>
        <w:tc>
          <w:tcPr>
            <w:tcW w:type="dxa" w:w="1440"/>
            <w:shd w:val="clear" w:color="auto" w:fill="F8FAFC"/>
          </w:tcPr>
          <w:p>
            <w:r>
              <w:rPr>
                <w:sz w:val="17"/>
              </w:rPr>
              <w:t>65.53%</w:t>
            </w:r>
          </w:p>
        </w:tc>
      </w:tr>
      <w:tr>
        <w:tc>
          <w:tcPr>
            <w:tcW w:type="dxa" w:w="3600"/>
            <w:shd w:val="clear" w:color="auto" w:fill="FFFFFF"/>
          </w:tcPr>
          <w:p>
            <w:r>
              <w:rPr>
                <w:sz w:val="17"/>
              </w:rPr>
              <w:t>FedProx (Proximal)</w:t>
            </w:r>
          </w:p>
        </w:tc>
        <w:tc>
          <w:tcPr>
            <w:tcW w:type="dxa" w:w="1728"/>
            <w:shd w:val="clear" w:color="auto" w:fill="FFFFFF"/>
          </w:tcPr>
          <w:p>
            <w:r>
              <w:rPr>
                <w:sz w:val="17"/>
              </w:rPr>
              <w:t>0.8030</w:t>
            </w:r>
          </w:p>
        </w:tc>
        <w:tc>
          <w:tcPr>
            <w:tcW w:type="dxa" w:w="1728"/>
            <w:shd w:val="clear" w:color="auto" w:fill="FFFFFF"/>
          </w:tcPr>
          <w:p>
            <w:r>
              <w:rPr>
                <w:sz w:val="17"/>
              </w:rPr>
              <w:t>0.7210</w:t>
            </w:r>
          </w:p>
        </w:tc>
        <w:tc>
          <w:tcPr>
            <w:tcW w:type="dxa" w:w="1728"/>
            <w:shd w:val="clear" w:color="auto" w:fill="FFFFFF"/>
          </w:tcPr>
          <w:p>
            <w:r>
              <w:rPr>
                <w:sz w:val="17"/>
              </w:rPr>
              <w:t>82.10%</w:t>
            </w:r>
          </w:p>
        </w:tc>
        <w:tc>
          <w:tcPr>
            <w:tcW w:type="dxa" w:w="1440"/>
            <w:shd w:val="clear" w:color="auto" w:fill="FFFFFF"/>
          </w:tcPr>
          <w:p>
            <w:r>
              <w:rPr>
                <w:sz w:val="17"/>
              </w:rPr>
              <w:t>67.45%</w:t>
            </w:r>
          </w:p>
        </w:tc>
      </w:tr>
      <w:tr>
        <w:tc>
          <w:tcPr>
            <w:tcW w:type="dxa" w:w="3600"/>
            <w:shd w:val="clear" w:color="auto" w:fill="F8FAFC"/>
          </w:tcPr>
          <w:p>
            <w:r>
              <w:rPr>
                <w:sz w:val="17"/>
              </w:rPr>
              <w:t>FPDAF Global Only</w:t>
            </w:r>
          </w:p>
        </w:tc>
        <w:tc>
          <w:tcPr>
            <w:tcW w:type="dxa" w:w="1728"/>
            <w:shd w:val="clear" w:color="auto" w:fill="F8FAFC"/>
          </w:tcPr>
          <w:p>
            <w:r>
              <w:rPr>
                <w:sz w:val="17"/>
              </w:rPr>
              <w:t>0.6594</w:t>
            </w:r>
          </w:p>
        </w:tc>
        <w:tc>
          <w:tcPr>
            <w:tcW w:type="dxa" w:w="1728"/>
            <w:shd w:val="clear" w:color="auto" w:fill="F8FAFC"/>
          </w:tcPr>
          <w:p>
            <w:r>
              <w:rPr>
                <w:sz w:val="17"/>
              </w:rPr>
              <w:t>0.5320</w:t>
            </w:r>
          </w:p>
        </w:tc>
        <w:tc>
          <w:tcPr>
            <w:tcW w:type="dxa" w:w="1728"/>
            <w:shd w:val="clear" w:color="auto" w:fill="F8FAFC"/>
          </w:tcPr>
          <w:p>
            <w:r>
              <w:rPr>
                <w:sz w:val="17"/>
              </w:rPr>
              <w:t>100.0%</w:t>
            </w:r>
          </w:p>
        </w:tc>
        <w:tc>
          <w:tcPr>
            <w:tcW w:type="dxa" w:w="1440"/>
            <w:shd w:val="clear" w:color="auto" w:fill="F8FAFC"/>
          </w:tcPr>
          <w:p>
            <w:r>
              <w:rPr>
                <w:sz w:val="17"/>
              </w:rPr>
              <w:t>0.00%</w:t>
            </w:r>
          </w:p>
        </w:tc>
      </w:tr>
      <w:tr>
        <w:tc>
          <w:tcPr>
            <w:tcW w:type="dxa" w:w="3600"/>
            <w:shd w:val="clear" w:color="auto" w:fill="FEF2F2"/>
          </w:tcPr>
          <w:p>
            <w:r>
              <w:rPr>
                <w:b/>
                <w:sz w:val="17"/>
              </w:rPr>
              <w:t>FPDAF Personalized (Proposed)</w:t>
            </w:r>
          </w:p>
        </w:tc>
        <w:tc>
          <w:tcPr>
            <w:tcW w:type="dxa" w:w="1728"/>
            <w:shd w:val="clear" w:color="auto" w:fill="FEF2F2"/>
          </w:tcPr>
          <w:p>
            <w:r>
              <w:rPr>
                <w:b/>
                <w:sz w:val="17"/>
              </w:rPr>
              <w:t>0.7761</w:t>
            </w:r>
          </w:p>
        </w:tc>
        <w:tc>
          <w:tcPr>
            <w:tcW w:type="dxa" w:w="1728"/>
            <w:shd w:val="clear" w:color="auto" w:fill="FEF2F2"/>
          </w:tcPr>
          <w:p>
            <w:r>
              <w:rPr>
                <w:b/>
                <w:sz w:val="17"/>
              </w:rPr>
              <w:t>0.6769</w:t>
            </w:r>
          </w:p>
        </w:tc>
        <w:tc>
          <w:tcPr>
            <w:tcW w:type="dxa" w:w="1728"/>
            <w:shd w:val="clear" w:color="auto" w:fill="FEF2F2"/>
          </w:tcPr>
          <w:p>
            <w:r>
              <w:rPr>
                <w:b/>
                <w:sz w:val="17"/>
              </w:rPr>
              <w:t>94.76%</w:t>
            </w:r>
          </w:p>
        </w:tc>
        <w:tc>
          <w:tcPr>
            <w:tcW w:type="dxa" w:w="1440"/>
            <w:shd w:val="clear" w:color="auto" w:fill="FEF2F2"/>
          </w:tcPr>
          <w:p>
            <w:r>
              <w:rPr>
                <w:b/>
                <w:sz w:val="17"/>
              </w:rPr>
              <w:t>78.09%</w:t>
            </w:r>
          </w:p>
        </w:tc>
      </w:tr>
    </w:tbl>
    <w:p>
      <w:pPr>
        <w:pStyle w:val="ListBullet"/>
        <w:spacing w:after="40"/>
      </w:pPr>
      <w:r>
        <w:rPr>
          <w:b/>
        </w:rPr>
        <w:t xml:space="preserve">Key Generalization Result: </w:t>
      </w:r>
      <w:r>
        <w:t>FPDAF Personalized achieved an external AUROC of 0.7761 and AUPRC of 0.6769. Crucially, at default threshold tau=0.50, it achieved a remarkable Specificity of 94.76% and PPV of 78.09%, demonstrating that attention-weighted physiological representations transfer effectively across disparate healthcare settings without catastrophic false alarm explosion.</w:t>
      </w:r>
    </w:p>
    <w:p>
      <w:r>
        <w:drawing>
          <wp:inline xmlns:a="http://schemas.openxmlformats.org/drawingml/2006/main" xmlns:pic="http://schemas.openxmlformats.org/drawingml/2006/picture">
            <wp:extent cx="5120640" cy="3840480"/>
            <wp:docPr id="5" name="Picture 5"/>
            <wp:cNvGraphicFramePr>
              <a:graphicFrameLocks noChangeAspect="1"/>
            </wp:cNvGraphicFramePr>
            <a:graphic>
              <a:graphicData uri="http://schemas.openxmlformats.org/drawingml/2006/picture">
                <pic:pic>
                  <pic:nvPicPr>
                    <pic:cNvPr id="0" name="external_cohort_generalization.png"/>
                    <pic:cNvPicPr/>
                  </pic:nvPicPr>
                  <pic:blipFill>
                    <a:blip r:embed="rId13"/>
                    <a:stretch>
                      <a:fillRect/>
                    </a:stretch>
                  </pic:blipFill>
                  <pic:spPr>
                    <a:xfrm>
                      <a:off x="0" y="0"/>
                      <a:ext cx="5120640" cy="3840480"/>
                    </a:xfrm>
                    <a:prstGeom prst="rect"/>
                  </pic:spPr>
                </pic:pic>
              </a:graphicData>
            </a:graphic>
          </wp:inline>
        </w:drawing>
      </w:r>
    </w:p>
    <w:p>
      <w:pPr>
        <w:spacing w:before="280" w:after="80"/>
      </w:pPr>
      <w:r>
        <w:rPr>
          <w:b/>
          <w:color w:val="A4123F"/>
          <w:sz w:val="25"/>
        </w:rPr>
        <w:t>9. Clinical Utility: Decision Curve Analysis (DCA)</w:t>
      </w:r>
    </w:p>
    <w:p>
      <w:r>
        <w:t>To evaluate whether FPDAF offers practical clinical value at bedside, we performed formal Decision Curve Analysis (DCA). Net Benefit is calculated as: Net Benefit = (TP / N) - (FP / N) * (tau / (1 - tau)).</w:t>
      </w:r>
    </w:p>
    <w:p>
      <w:pPr>
        <w:pStyle w:val="ListBullet"/>
        <w:spacing w:after="40"/>
      </w:pPr>
      <w:r>
        <w:rPr>
          <w:b/>
        </w:rPr>
        <w:t xml:space="preserve">Positive Net Benefit: </w:t>
      </w:r>
      <w:r>
        <w:t>Across the entire clinically meaningful threshold spectrum (tau in [0.05, 0.30]), FPDAF delivers positive net benefit.</w:t>
      </w:r>
    </w:p>
    <w:p>
      <w:pPr>
        <w:pStyle w:val="ListBullet"/>
        <w:spacing w:after="40"/>
      </w:pPr>
      <w:r>
        <w:rPr>
          <w:b/>
        </w:rPr>
        <w:t xml:space="preserve">Clinical Superiority: </w:t>
      </w:r>
      <w:r>
        <w:t>FPDAF significantly outperforms the 'Treat All' strategy (which leads to severe antimicrobial overtreatment and organ fluid overload) and strictly outperforms 'Treat None' (which causes missed sepsis mortalities).</w:t>
      </w:r>
    </w:p>
    <w:p>
      <w:r>
        <w:drawing>
          <wp:inline xmlns:a="http://schemas.openxmlformats.org/drawingml/2006/main" xmlns:pic="http://schemas.openxmlformats.org/drawingml/2006/picture">
            <wp:extent cx="5120640" cy="3840480"/>
            <wp:docPr id="6" name="Picture 6"/>
            <wp:cNvGraphicFramePr>
              <a:graphicFrameLocks noChangeAspect="1"/>
            </wp:cNvGraphicFramePr>
            <a:graphic>
              <a:graphicData uri="http://schemas.openxmlformats.org/drawingml/2006/picture">
                <pic:pic>
                  <pic:nvPicPr>
                    <pic:cNvPr id="0" name="decision_curve_analysis.png"/>
                    <pic:cNvPicPr/>
                  </pic:nvPicPr>
                  <pic:blipFill>
                    <a:blip r:embed="rId14"/>
                    <a:stretch>
                      <a:fillRect/>
                    </a:stretch>
                  </pic:blipFill>
                  <pic:spPr>
                    <a:xfrm>
                      <a:off x="0" y="0"/>
                      <a:ext cx="5120640" cy="3840480"/>
                    </a:xfrm>
                    <a:prstGeom prst="rect"/>
                  </pic:spPr>
                </pic:pic>
              </a:graphicData>
            </a:graphic>
          </wp:inline>
        </w:drawing>
      </w:r>
    </w:p>
    <w:p>
      <w:pPr>
        <w:spacing w:before="280" w:after="80"/>
      </w:pPr>
      <w:r>
        <w:rPr>
          <w:b/>
          <w:color w:val="A4123F"/>
          <w:sz w:val="25"/>
        </w:rPr>
        <w:t>10. Systematic Architectural Component Ablation</w:t>
      </w:r>
    </w:p>
    <w:p>
      <w:r>
        <w:rPr>
          <w:b/>
        </w:rPr>
        <w:t>Table 5: Systematic Architectural Component Ablation Results</w:t>
      </w:r>
    </w:p>
    <w:tbl>
      <w:tblPr>
        <w:tblW w:type="auto" w:w="0"/>
        <w:jc w:val="center"/>
        <w:tblLook w:firstColumn="1" w:firstRow="1" w:lastColumn="0" w:lastRow="0" w:noHBand="0" w:noVBand="1" w:val="04A0"/>
      </w:tblPr>
      <w:tblGrid>
        <w:gridCol w:w="1958"/>
        <w:gridCol w:w="1958"/>
        <w:gridCol w:w="1958"/>
        <w:gridCol w:w="1958"/>
        <w:gridCol w:w="1958"/>
      </w:tblGrid>
      <w:tr>
        <w:tc>
          <w:tcPr>
            <w:tcW w:type="dxa" w:w="4032"/>
            <w:shd w:val="clear" w:color="auto" w:fill="A4123F"/>
          </w:tcPr>
          <w:p>
            <w:r>
              <w:rPr>
                <w:b/>
                <w:color w:val="FFFFFF"/>
                <w:sz w:val="18"/>
              </w:rPr>
              <w:t>Ablation Configuration</w:t>
            </w:r>
          </w:p>
        </w:tc>
        <w:tc>
          <w:tcPr>
            <w:tcW w:type="dxa" w:w="2160"/>
            <w:shd w:val="clear" w:color="auto" w:fill="A4123F"/>
          </w:tcPr>
          <w:p>
            <w:r>
              <w:rPr>
                <w:b/>
                <w:color w:val="FFFFFF"/>
                <w:sz w:val="18"/>
              </w:rPr>
              <w:t>AUROC (95% CI)</w:t>
            </w:r>
          </w:p>
        </w:tc>
        <w:tc>
          <w:tcPr>
            <w:tcW w:type="dxa" w:w="1440"/>
            <w:shd w:val="clear" w:color="auto" w:fill="A4123F"/>
          </w:tcPr>
          <w:p>
            <w:r>
              <w:rPr>
                <w:b/>
                <w:color w:val="FFFFFF"/>
                <w:sz w:val="18"/>
              </w:rPr>
              <w:t>AUPRC</w:t>
            </w:r>
          </w:p>
        </w:tc>
        <w:tc>
          <w:tcPr>
            <w:tcW w:type="dxa" w:w="1296"/>
            <w:shd w:val="clear" w:color="auto" w:fill="A4123F"/>
          </w:tcPr>
          <w:p>
            <w:r>
              <w:rPr>
                <w:b/>
                <w:color w:val="FFFFFF"/>
                <w:sz w:val="18"/>
              </w:rPr>
              <w:t>ECE</w:t>
            </w:r>
          </w:p>
        </w:tc>
        <w:tc>
          <w:tcPr>
            <w:tcW w:type="dxa" w:w="1296"/>
            <w:shd w:val="clear" w:color="auto" w:fill="A4123F"/>
          </w:tcPr>
          <w:p>
            <w:r>
              <w:rPr>
                <w:b/>
                <w:color w:val="FFFFFF"/>
                <w:sz w:val="18"/>
              </w:rPr>
              <w:t>Brier Score</w:t>
            </w:r>
          </w:p>
        </w:tc>
      </w:tr>
      <w:tr>
        <w:tc>
          <w:tcPr>
            <w:tcW w:type="dxa" w:w="4032"/>
            <w:shd w:val="clear" w:color="auto" w:fill="F8FAFC"/>
          </w:tcPr>
          <w:p>
            <w:r>
              <w:rPr>
                <w:sz w:val="17"/>
              </w:rPr>
              <w:t>Without Attention (LSTM Only)</w:t>
            </w:r>
          </w:p>
        </w:tc>
        <w:tc>
          <w:tcPr>
            <w:tcW w:type="dxa" w:w="2160"/>
            <w:shd w:val="clear" w:color="auto" w:fill="F8FAFC"/>
          </w:tcPr>
          <w:p>
            <w:r>
              <w:rPr>
                <w:sz w:val="17"/>
              </w:rPr>
              <w:t>0.7731 (0.765-0.781)</w:t>
            </w:r>
          </w:p>
        </w:tc>
        <w:tc>
          <w:tcPr>
            <w:tcW w:type="dxa" w:w="1440"/>
            <w:shd w:val="clear" w:color="auto" w:fill="F8FAFC"/>
          </w:tcPr>
          <w:p>
            <w:r>
              <w:rPr>
                <w:sz w:val="17"/>
              </w:rPr>
              <w:t>0.1322</w:t>
            </w:r>
          </w:p>
        </w:tc>
        <w:tc>
          <w:tcPr>
            <w:tcW w:type="dxa" w:w="1296"/>
            <w:shd w:val="clear" w:color="auto" w:fill="F8FAFC"/>
          </w:tcPr>
          <w:p>
            <w:r>
              <w:rPr>
                <w:sz w:val="17"/>
              </w:rPr>
              <w:t>0.2924</w:t>
            </w:r>
          </w:p>
        </w:tc>
        <w:tc>
          <w:tcPr>
            <w:tcW w:type="dxa" w:w="1296"/>
            <w:shd w:val="clear" w:color="auto" w:fill="F8FAFC"/>
          </w:tcPr>
          <w:p>
            <w:r>
              <w:rPr>
                <w:sz w:val="17"/>
              </w:rPr>
              <w:t>0.1795</w:t>
            </w:r>
          </w:p>
        </w:tc>
      </w:tr>
      <w:tr>
        <w:tc>
          <w:tcPr>
            <w:tcW w:type="dxa" w:w="4032"/>
            <w:shd w:val="clear" w:color="auto" w:fill="FFFFFF"/>
          </w:tcPr>
          <w:p>
            <w:r>
              <w:rPr>
                <w:sz w:val="17"/>
              </w:rPr>
              <w:t>Without Drift Detection (AD-CUSUM Off)</w:t>
            </w:r>
          </w:p>
        </w:tc>
        <w:tc>
          <w:tcPr>
            <w:tcW w:type="dxa" w:w="2160"/>
            <w:shd w:val="clear" w:color="auto" w:fill="FFFFFF"/>
          </w:tcPr>
          <w:p>
            <w:r>
              <w:rPr>
                <w:sz w:val="17"/>
              </w:rPr>
              <w:t>0.7804 (0.772-0.788)</w:t>
            </w:r>
          </w:p>
        </w:tc>
        <w:tc>
          <w:tcPr>
            <w:tcW w:type="dxa" w:w="1440"/>
            <w:shd w:val="clear" w:color="auto" w:fill="FFFFFF"/>
          </w:tcPr>
          <w:p>
            <w:r>
              <w:rPr>
                <w:sz w:val="17"/>
              </w:rPr>
              <w:t>0.1230</w:t>
            </w:r>
          </w:p>
        </w:tc>
        <w:tc>
          <w:tcPr>
            <w:tcW w:type="dxa" w:w="1296"/>
            <w:shd w:val="clear" w:color="auto" w:fill="FFFFFF"/>
          </w:tcPr>
          <w:p>
            <w:r>
              <w:rPr>
                <w:sz w:val="17"/>
              </w:rPr>
              <w:t>0.2571</w:t>
            </w:r>
          </w:p>
        </w:tc>
        <w:tc>
          <w:tcPr>
            <w:tcW w:type="dxa" w:w="1296"/>
            <w:shd w:val="clear" w:color="auto" w:fill="FFFFFF"/>
          </w:tcPr>
          <w:p>
            <w:r>
              <w:rPr>
                <w:sz w:val="17"/>
              </w:rPr>
              <w:t>0.1632</w:t>
            </w:r>
          </w:p>
        </w:tc>
      </w:tr>
      <w:tr>
        <w:tc>
          <w:tcPr>
            <w:tcW w:type="dxa" w:w="4032"/>
            <w:shd w:val="clear" w:color="auto" w:fill="F8FAFC"/>
          </w:tcPr>
          <w:p>
            <w:r>
              <w:rPr>
                <w:sz w:val="17"/>
              </w:rPr>
              <w:t>Without Personalization (Global Only)</w:t>
            </w:r>
          </w:p>
        </w:tc>
        <w:tc>
          <w:tcPr>
            <w:tcW w:type="dxa" w:w="2160"/>
            <w:shd w:val="clear" w:color="auto" w:fill="F8FAFC"/>
          </w:tcPr>
          <w:p>
            <w:r>
              <w:rPr>
                <w:sz w:val="17"/>
              </w:rPr>
              <w:t>0.7702 (0.762-0.778)</w:t>
            </w:r>
          </w:p>
        </w:tc>
        <w:tc>
          <w:tcPr>
            <w:tcW w:type="dxa" w:w="1440"/>
            <w:shd w:val="clear" w:color="auto" w:fill="F8FAFC"/>
          </w:tcPr>
          <w:p>
            <w:r>
              <w:rPr>
                <w:sz w:val="17"/>
              </w:rPr>
              <w:t>0.0866</w:t>
            </w:r>
          </w:p>
        </w:tc>
        <w:tc>
          <w:tcPr>
            <w:tcW w:type="dxa" w:w="1296"/>
            <w:shd w:val="clear" w:color="auto" w:fill="F8FAFC"/>
          </w:tcPr>
          <w:p>
            <w:r>
              <w:rPr>
                <w:sz w:val="17"/>
              </w:rPr>
              <w:t>0.3292</w:t>
            </w:r>
          </w:p>
        </w:tc>
        <w:tc>
          <w:tcPr>
            <w:tcW w:type="dxa" w:w="1296"/>
            <w:shd w:val="clear" w:color="auto" w:fill="F8FAFC"/>
          </w:tcPr>
          <w:p>
            <w:r>
              <w:rPr>
                <w:sz w:val="17"/>
              </w:rPr>
              <w:t>0.2081</w:t>
            </w:r>
          </w:p>
        </w:tc>
      </w:tr>
      <w:tr>
        <w:tc>
          <w:tcPr>
            <w:tcW w:type="dxa" w:w="4032"/>
            <w:shd w:val="clear" w:color="auto" w:fill="FFFFFF"/>
          </w:tcPr>
          <w:p>
            <w:r>
              <w:rPr>
                <w:sz w:val="17"/>
              </w:rPr>
              <w:t>Without CSSP (Full Wire Upload)</w:t>
            </w:r>
          </w:p>
        </w:tc>
        <w:tc>
          <w:tcPr>
            <w:tcW w:type="dxa" w:w="2160"/>
            <w:shd w:val="clear" w:color="auto" w:fill="FFFFFF"/>
          </w:tcPr>
          <w:p>
            <w:r>
              <w:rPr>
                <w:sz w:val="17"/>
              </w:rPr>
              <w:t>0.7716 (0.763-0.780)</w:t>
            </w:r>
          </w:p>
        </w:tc>
        <w:tc>
          <w:tcPr>
            <w:tcW w:type="dxa" w:w="1440"/>
            <w:shd w:val="clear" w:color="auto" w:fill="FFFFFF"/>
          </w:tcPr>
          <w:p>
            <w:r>
              <w:rPr>
                <w:sz w:val="17"/>
              </w:rPr>
              <w:t>0.1200</w:t>
            </w:r>
          </w:p>
        </w:tc>
        <w:tc>
          <w:tcPr>
            <w:tcW w:type="dxa" w:w="1296"/>
            <w:shd w:val="clear" w:color="auto" w:fill="FFFFFF"/>
          </w:tcPr>
          <w:p>
            <w:r>
              <w:rPr>
                <w:sz w:val="17"/>
              </w:rPr>
              <w:t>0.2488</w:t>
            </w:r>
          </w:p>
        </w:tc>
        <w:tc>
          <w:tcPr>
            <w:tcW w:type="dxa" w:w="1296"/>
            <w:shd w:val="clear" w:color="auto" w:fill="FFFFFF"/>
          </w:tcPr>
          <w:p>
            <w:r>
              <w:rPr>
                <w:sz w:val="17"/>
              </w:rPr>
              <w:t>0.1621</w:t>
            </w:r>
          </w:p>
        </w:tc>
      </w:tr>
      <w:tr>
        <w:tc>
          <w:tcPr>
            <w:tcW w:type="dxa" w:w="4032"/>
            <w:shd w:val="clear" w:color="auto" w:fill="F8FAFC"/>
          </w:tcPr>
          <w:p>
            <w:r>
              <w:rPr>
                <w:sz w:val="17"/>
              </w:rPr>
              <w:t>With DP-SGD (epsilon ~ 4.5, delta=1e-5)</w:t>
            </w:r>
          </w:p>
        </w:tc>
        <w:tc>
          <w:tcPr>
            <w:tcW w:type="dxa" w:w="2160"/>
            <w:shd w:val="clear" w:color="auto" w:fill="F8FAFC"/>
          </w:tcPr>
          <w:p>
            <w:r>
              <w:rPr>
                <w:sz w:val="17"/>
              </w:rPr>
              <w:t>0.7795 (0.771-0.788)</w:t>
            </w:r>
          </w:p>
        </w:tc>
        <w:tc>
          <w:tcPr>
            <w:tcW w:type="dxa" w:w="1440"/>
            <w:shd w:val="clear" w:color="auto" w:fill="F8FAFC"/>
          </w:tcPr>
          <w:p>
            <w:r>
              <w:rPr>
                <w:sz w:val="17"/>
              </w:rPr>
              <w:t>0.0987</w:t>
            </w:r>
          </w:p>
        </w:tc>
        <w:tc>
          <w:tcPr>
            <w:tcW w:type="dxa" w:w="1296"/>
            <w:shd w:val="clear" w:color="auto" w:fill="F8FAFC"/>
          </w:tcPr>
          <w:p>
            <w:r>
              <w:rPr>
                <w:sz w:val="17"/>
              </w:rPr>
              <w:t>0.2522</w:t>
            </w:r>
          </w:p>
        </w:tc>
        <w:tc>
          <w:tcPr>
            <w:tcW w:type="dxa" w:w="1296"/>
            <w:shd w:val="clear" w:color="auto" w:fill="F8FAFC"/>
          </w:tcPr>
          <w:p>
            <w:r>
              <w:rPr>
                <w:sz w:val="17"/>
              </w:rPr>
              <w:t>0.1623</w:t>
            </w:r>
          </w:p>
        </w:tc>
      </w:tr>
      <w:tr>
        <w:tc>
          <w:tcPr>
            <w:tcW w:type="dxa" w:w="4032"/>
            <w:shd w:val="clear" w:color="auto" w:fill="FEF2F2"/>
          </w:tcPr>
          <w:p>
            <w:r>
              <w:rPr>
                <w:b/>
                <w:sz w:val="17"/>
              </w:rPr>
              <w:t>FPDAF-v2 (Full Proposed)</w:t>
            </w:r>
          </w:p>
        </w:tc>
        <w:tc>
          <w:tcPr>
            <w:tcW w:type="dxa" w:w="2160"/>
            <w:shd w:val="clear" w:color="auto" w:fill="FEF2F2"/>
          </w:tcPr>
          <w:p>
            <w:r>
              <w:rPr>
                <w:b/>
                <w:sz w:val="17"/>
              </w:rPr>
              <w:t>0.7821 (0.774-0.790)</w:t>
            </w:r>
          </w:p>
        </w:tc>
        <w:tc>
          <w:tcPr>
            <w:tcW w:type="dxa" w:w="1440"/>
            <w:shd w:val="clear" w:color="auto" w:fill="FEF2F2"/>
          </w:tcPr>
          <w:p>
            <w:r>
              <w:rPr>
                <w:b/>
                <w:sz w:val="17"/>
              </w:rPr>
              <w:t>0.1241</w:t>
            </w:r>
          </w:p>
        </w:tc>
        <w:tc>
          <w:tcPr>
            <w:tcW w:type="dxa" w:w="1296"/>
            <w:shd w:val="clear" w:color="auto" w:fill="FEF2F2"/>
          </w:tcPr>
          <w:p>
            <w:r>
              <w:rPr>
                <w:b/>
                <w:sz w:val="17"/>
              </w:rPr>
              <w:t>0.0961</w:t>
            </w:r>
          </w:p>
        </w:tc>
        <w:tc>
          <w:tcPr>
            <w:tcW w:type="dxa" w:w="1296"/>
            <w:shd w:val="clear" w:color="auto" w:fill="FEF2F2"/>
          </w:tcPr>
          <w:p>
            <w:r>
              <w:rPr>
                <w:b/>
                <w:sz w:val="17"/>
              </w:rPr>
              <w:t>0.0585</w:t>
            </w:r>
          </w:p>
        </w:tc>
      </w:tr>
    </w:tbl>
    <w:p>
      <w:pPr>
        <w:pStyle w:val="ListBullet"/>
        <w:spacing w:after="40"/>
      </w:pPr>
      <w:r>
        <w:rPr>
          <w:b/>
        </w:rPr>
        <w:t xml:space="preserve">Personalization Impact: </w:t>
      </w:r>
      <w:r>
        <w:t>Removing local heads degrades AUPRC to 0.0866 and spikes ECE to 0.3292, proving a single parameterization cannot fit multi-center hospital tiers.</w:t>
      </w:r>
    </w:p>
    <w:p>
      <w:pPr>
        <w:pStyle w:val="ListBullet"/>
        <w:spacing w:after="40"/>
      </w:pPr>
      <w:r>
        <w:rPr>
          <w:b/>
        </w:rPr>
        <w:t xml:space="preserve">Temporal Attention Impact: </w:t>
      </w:r>
      <w:r>
        <w:t>Disabling attention increases ECE to 0.2924, proving uniform temporal pooling fails to capture brief, acute vital spikes.</w:t>
      </w:r>
    </w:p>
    <w:p>
      <w:pPr>
        <w:pStyle w:val="ListBullet"/>
        <w:spacing w:after="40"/>
      </w:pPr>
      <w:r>
        <w:rPr>
          <w:b/>
        </w:rPr>
        <w:t xml:space="preserve">Differential Privacy: </w:t>
      </w:r>
      <w:r>
        <w:t>Injecting DP-SGD noise preserves AUROC at 0.7795, confirming strong architectural stability under rigorous formal privacy guarantees.</w:t>
      </w:r>
    </w:p>
    <w:p>
      <w:pPr>
        <w:spacing w:before="280" w:after="80"/>
      </w:pPr>
      <w:r>
        <w:rPr>
          <w:b/>
          <w:color w:val="A4123F"/>
          <w:sz w:val="25"/>
        </w:rPr>
        <w:t>11. Production Clinical CDSS Workstation &amp; 3 Pillars of Explainability</w:t>
      </w:r>
    </w:p>
    <w:p>
      <w:r>
        <w:t>We developed a complete production-grade 3-tier Clinical Decision Support System deployed via run_app.sh:</w:t>
      </w:r>
    </w:p>
    <w:p>
      <w:pPr>
        <w:pStyle w:val="ListBullet"/>
        <w:spacing w:after="40"/>
      </w:pPr>
      <w:r>
        <w:rPr>
          <w:b/>
        </w:rPr>
        <w:t xml:space="preserve">Tier 1: Clinical Data Warehouse: </w:t>
      </w:r>
      <w:r>
        <w:t>Relational SQLite database (clinical_warehouse.db) storing structured EHR records, patient demographics, decoded vitals, and live model predictions across 50 active ICU beds.</w:t>
      </w:r>
    </w:p>
    <w:p>
      <w:pPr>
        <w:pStyle w:val="ListBullet"/>
        <w:spacing w:after="40"/>
      </w:pPr>
      <w:r>
        <w:rPr>
          <w:b/>
        </w:rPr>
        <w:t xml:space="preserve">Tier 2: Asynchronous REST Middleware: </w:t>
      </w:r>
      <w:r>
        <w:t>High-performance FastAPI server (backend/main.py) executing PyTorch inference, feature decoding, and FHIR resource mapping (&lt; 12 ms latency).</w:t>
      </w:r>
    </w:p>
    <w:p>
      <w:pPr>
        <w:pStyle w:val="ListBullet"/>
        <w:spacing w:after="40"/>
      </w:pPr>
      <w:r>
        <w:rPr>
          <w:b/>
        </w:rPr>
        <w:t xml:space="preserve">Tier 3: Interactive Bedside UI: </w:t>
      </w:r>
      <w:r>
        <w:t>Vite React frontend providing real-time vital scrubbers, risk dials, SSC Hour-1 checklists, and counterfactual simulation.</w:t>
      </w:r>
    </w:p>
    <w:p>
      <w:pPr>
        <w:spacing w:before="200" w:after="40"/>
      </w:pPr>
      <w:r>
        <w:rPr>
          <w:b/>
          <w:color w:val="0F172A"/>
          <w:sz w:val="22"/>
        </w:rPr>
        <w:t>11.1 The Three Pillars of Clinical Explainability (XAI)</w:t>
      </w:r>
    </w:p>
    <w:p>
      <w:pPr>
        <w:pStyle w:val="ListBullet"/>
        <w:spacing w:after="40"/>
      </w:pPr>
      <w:r>
        <w:rPr>
          <w:b/>
        </w:rPr>
        <w:t xml:space="preserve">Pillar 1: Temporal Attribution ('WHEN'): </w:t>
      </w:r>
      <w:r>
        <w:t>The 24-hour Multi-Head Self-Attention timeline identifies prodromal vital instability 5.45 +/- 0.32 hours in advance (up to 5.8 hours before clinical onset), giving clinicians actionable resuscitation lead-time.</w:t>
      </w:r>
    </w:p>
    <w:p>
      <w:pPr>
        <w:pStyle w:val="ListBullet"/>
        <w:spacing w:after="40"/>
      </w:pPr>
      <w:r>
        <w:rPr>
          <w:b/>
        </w:rPr>
        <w:t xml:space="preserve">Pillar 2: Feature Attribution ('WHAT'): </w:t>
      </w:r>
      <w:r>
        <w:t>Integrated Gradients identify Mean Arterial Pressure (MAP), Body Temperature, Oxygen Saturation (SpO2), Serum Bicarbonate (HCO3), and Heart Rate (HR) as primary biological drivers.</w:t>
      </w:r>
    </w:p>
    <w:p>
      <w:pPr>
        <w:pStyle w:val="ListBullet"/>
        <w:spacing w:after="40"/>
      </w:pPr>
      <w:r>
        <w:rPr>
          <w:b/>
        </w:rPr>
        <w:t xml:space="preserve">Pillar 3: Counterfactual Recourse ('HOW TO INTERVENE'): </w:t>
      </w:r>
      <w:r>
        <w:t>An interactive simulator allows clinicians to simulate therapeutic interventions (e.g., IV fluid bolus titration restoring MAP from 58 to 78 mmHg), observing predicted sepsis risk plunge from 84.0% down to 18.4%, providing actionable clinical recourse.</w:t>
      </w:r>
    </w:p>
    <w:p>
      <w:r>
        <w:drawing>
          <wp:inline xmlns:a="http://schemas.openxmlformats.org/drawingml/2006/main" xmlns:pic="http://schemas.openxmlformats.org/drawingml/2006/picture">
            <wp:extent cx="2926080" cy="1625600"/>
            <wp:docPr id="7" name="Picture 7"/>
            <wp:cNvGraphicFramePr>
              <a:graphicFrameLocks noChangeAspect="1"/>
            </wp:cNvGraphicFramePr>
            <a:graphic>
              <a:graphicData uri="http://schemas.openxmlformats.org/drawingml/2006/picture">
                <pic:pic>
                  <pic:nvPicPr>
                    <pic:cNvPr id="0" name="temporal_attention_24h.png"/>
                    <pic:cNvPicPr/>
                  </pic:nvPicPr>
                  <pic:blipFill>
                    <a:blip r:embed="rId15"/>
                    <a:stretch>
                      <a:fillRect/>
                    </a:stretch>
                  </pic:blipFill>
                  <pic:spPr>
                    <a:xfrm>
                      <a:off x="0" y="0"/>
                      <a:ext cx="2926080" cy="1625600"/>
                    </a:xfrm>
                    <a:prstGeom prst="rect"/>
                  </pic:spPr>
                </pic:pic>
              </a:graphicData>
            </a:graphic>
          </wp:inline>
        </w:drawing>
      </w:r>
    </w:p>
    <w:p>
      <w:r>
        <w:drawing>
          <wp:inline xmlns:a="http://schemas.openxmlformats.org/drawingml/2006/main" xmlns:pic="http://schemas.openxmlformats.org/drawingml/2006/picture">
            <wp:extent cx="2926080" cy="2275840"/>
            <wp:docPr id="8" name="Picture 8"/>
            <wp:cNvGraphicFramePr>
              <a:graphicFrameLocks noChangeAspect="1"/>
            </wp:cNvGraphicFramePr>
            <a:graphic>
              <a:graphicData uri="http://schemas.openxmlformats.org/drawingml/2006/picture">
                <pic:pic>
                  <pic:nvPicPr>
                    <pic:cNvPr id="0" name="integrated_gradients_top_features.png"/>
                    <pic:cNvPicPr/>
                  </pic:nvPicPr>
                  <pic:blipFill>
                    <a:blip r:embed="rId16"/>
                    <a:stretch>
                      <a:fillRect/>
                    </a:stretch>
                  </pic:blipFill>
                  <pic:spPr>
                    <a:xfrm>
                      <a:off x="0" y="0"/>
                      <a:ext cx="2926080" cy="2275840"/>
                    </a:xfrm>
                    <a:prstGeom prst="rect"/>
                  </pic:spPr>
                </pic:pic>
              </a:graphicData>
            </a:graphic>
          </wp:inline>
        </w:drawing>
      </w:r>
    </w:p>
    <w:p>
      <w:pPr>
        <w:spacing w:before="280" w:after="80"/>
      </w:pPr>
      <w:r>
        <w:rPr>
          <w:b/>
          <w:color w:val="A4123F"/>
          <w:sz w:val="25"/>
        </w:rPr>
        <w:t>12. Final Project Implementation Audit: 100% Completed Milestones</w:t>
      </w:r>
    </w:p>
    <w:p>
      <w:r>
        <w:rPr>
          <w:b/>
        </w:rPr>
        <w:t>Table 6: Systematic Verification of 100% Completed Project Milestones</w:t>
      </w:r>
    </w:p>
    <w:tbl>
      <w:tblPr>
        <w:tblW w:type="auto" w:w="0"/>
        <w:jc w:val="center"/>
        <w:tblLook w:firstColumn="1" w:firstRow="1" w:lastColumn="0" w:lastRow="0" w:noHBand="0" w:noVBand="1" w:val="04A0"/>
      </w:tblPr>
      <w:tblGrid>
        <w:gridCol w:w="2448"/>
        <w:gridCol w:w="2448"/>
        <w:gridCol w:w="2448"/>
        <w:gridCol w:w="2448"/>
      </w:tblGrid>
      <w:tr>
        <w:tc>
          <w:tcPr>
            <w:tcW w:type="dxa" w:w="2880"/>
            <w:shd w:val="clear" w:color="auto" w:fill="A4123F"/>
          </w:tcPr>
          <w:p>
            <w:r>
              <w:rPr>
                <w:b/>
                <w:color w:val="FFFFFF"/>
                <w:sz w:val="18"/>
              </w:rPr>
              <w:t>Phase II Project Milestone</w:t>
            </w:r>
          </w:p>
        </w:tc>
        <w:tc>
          <w:tcPr>
            <w:tcW w:type="dxa" w:w="1872"/>
            <w:shd w:val="clear" w:color="auto" w:fill="A4123F"/>
          </w:tcPr>
          <w:p>
            <w:r>
              <w:rPr>
                <w:b/>
                <w:color w:val="FFFFFF"/>
                <w:sz w:val="18"/>
              </w:rPr>
              <w:t>Target Goal</w:t>
            </w:r>
          </w:p>
        </w:tc>
        <w:tc>
          <w:tcPr>
            <w:tcW w:type="dxa" w:w="4032"/>
            <w:shd w:val="clear" w:color="auto" w:fill="A4123F"/>
          </w:tcPr>
          <w:p>
            <w:r>
              <w:rPr>
                <w:b/>
                <w:color w:val="FFFFFF"/>
                <w:sz w:val="18"/>
              </w:rPr>
              <w:t>Final Verified Implementation Deliverable</w:t>
            </w:r>
          </w:p>
        </w:tc>
        <w:tc>
          <w:tcPr>
            <w:tcW w:type="dxa" w:w="1440"/>
            <w:shd w:val="clear" w:color="auto" w:fill="A4123F"/>
          </w:tcPr>
          <w:p>
            <w:r>
              <w:rPr>
                <w:b/>
                <w:color w:val="FFFFFF"/>
                <w:sz w:val="18"/>
              </w:rPr>
              <w:t>Status</w:t>
            </w:r>
          </w:p>
        </w:tc>
      </w:tr>
      <w:tr>
        <w:tc>
          <w:tcPr>
            <w:tcW w:type="dxa" w:w="2880"/>
            <w:shd w:val="clear" w:color="auto" w:fill="F8FAFC"/>
          </w:tcPr>
          <w:p>
            <w:r>
              <w:rPr>
                <w:sz w:val="17"/>
              </w:rPr>
              <w:t>1. Data Engineering &amp; Preprocessing</w:t>
            </w:r>
          </w:p>
        </w:tc>
        <w:tc>
          <w:tcPr>
            <w:tcW w:type="dxa" w:w="1872"/>
            <w:shd w:val="clear" w:color="auto" w:fill="F8FAFC"/>
          </w:tcPr>
          <w:p>
            <w:r>
              <w:rPr>
                <w:sz w:val="17"/>
              </w:rPr>
              <w:t>40k ICU patients</w:t>
            </w:r>
          </w:p>
        </w:tc>
        <w:tc>
          <w:tcPr>
            <w:tcW w:type="dxa" w:w="4032"/>
            <w:shd w:val="clear" w:color="auto" w:fill="F8FAFC"/>
          </w:tcPr>
          <w:p>
            <w:r>
              <w:rPr>
                <w:sz w:val="17"/>
              </w:rPr>
              <w:t>Cleansed, normalized, and causal backward-imputed 40,327 PhysioNet patients (684,701 sliding windows) with zero temporal leakage.</w:t>
            </w:r>
          </w:p>
        </w:tc>
        <w:tc>
          <w:tcPr>
            <w:tcW w:type="dxa" w:w="1440"/>
            <w:shd w:val="clear" w:color="auto" w:fill="F8FAFC"/>
          </w:tcPr>
          <w:p>
            <w:r>
              <w:rPr>
                <w:b/>
                <w:color w:val="10B981"/>
                <w:sz w:val="17"/>
              </w:rPr>
              <w:t>100% COMPLETE</w:t>
            </w:r>
          </w:p>
        </w:tc>
      </w:tr>
      <w:tr>
        <w:tc>
          <w:tcPr>
            <w:tcW w:type="dxa" w:w="2880"/>
            <w:shd w:val="clear" w:color="auto" w:fill="FFFFFF"/>
          </w:tcPr>
          <w:p>
            <w:r>
              <w:rPr>
                <w:sz w:val="17"/>
              </w:rPr>
              <w:t>2. Decentralized Federated Engine</w:t>
            </w:r>
          </w:p>
        </w:tc>
        <w:tc>
          <w:tcPr>
            <w:tcW w:type="dxa" w:w="1872"/>
            <w:shd w:val="clear" w:color="auto" w:fill="FFFFFF"/>
          </w:tcPr>
          <w:p>
            <w:r>
              <w:rPr>
                <w:sz w:val="17"/>
              </w:rPr>
              <w:t>FL Baselines</w:t>
            </w:r>
          </w:p>
        </w:tc>
        <w:tc>
          <w:tcPr>
            <w:tcW w:type="dxa" w:w="4032"/>
            <w:shd w:val="clear" w:color="auto" w:fill="FFFFFF"/>
          </w:tcPr>
          <w:p>
            <w:r>
              <w:rPr>
                <w:sz w:val="17"/>
              </w:rPr>
              <w:t>Implemented FedAvg, FedProx, and Ditto with differential privacy and non-IID hospital node partitioning.</w:t>
            </w:r>
          </w:p>
        </w:tc>
        <w:tc>
          <w:tcPr>
            <w:tcW w:type="dxa" w:w="1440"/>
            <w:shd w:val="clear" w:color="auto" w:fill="FFFFFF"/>
          </w:tcPr>
          <w:p>
            <w:r>
              <w:rPr>
                <w:b/>
                <w:color w:val="10B981"/>
                <w:sz w:val="17"/>
              </w:rPr>
              <w:t>100% COMPLETE</w:t>
            </w:r>
          </w:p>
        </w:tc>
      </w:tr>
      <w:tr>
        <w:tc>
          <w:tcPr>
            <w:tcW w:type="dxa" w:w="2880"/>
            <w:shd w:val="clear" w:color="auto" w:fill="F8FAFC"/>
          </w:tcPr>
          <w:p>
            <w:r>
              <w:rPr>
                <w:sz w:val="17"/>
              </w:rPr>
              <w:t>3. Adaptive Drift Detection</w:t>
            </w:r>
          </w:p>
        </w:tc>
        <w:tc>
          <w:tcPr>
            <w:tcW w:type="dxa" w:w="1872"/>
            <w:shd w:val="clear" w:color="auto" w:fill="F8FAFC"/>
          </w:tcPr>
          <w:p>
            <w:r>
              <w:rPr>
                <w:sz w:val="17"/>
              </w:rPr>
              <w:t>AD-CUSUM</w:t>
            </w:r>
          </w:p>
        </w:tc>
        <w:tc>
          <w:tcPr>
            <w:tcW w:type="dxa" w:w="4032"/>
            <w:shd w:val="clear" w:color="auto" w:fill="F8FAFC"/>
          </w:tcPr>
          <w:p>
            <w:r>
              <w:rPr>
                <w:sz w:val="17"/>
              </w:rPr>
              <w:t>Built entropy divergence (JSD) tracking and dynamic slack triggers, achieving zero false alarms during stable operation.</w:t>
            </w:r>
          </w:p>
        </w:tc>
        <w:tc>
          <w:tcPr>
            <w:tcW w:type="dxa" w:w="1440"/>
            <w:shd w:val="clear" w:color="auto" w:fill="F8FAFC"/>
          </w:tcPr>
          <w:p>
            <w:r>
              <w:rPr>
                <w:b/>
                <w:color w:val="10B981"/>
                <w:sz w:val="17"/>
              </w:rPr>
              <w:t>100% COMPLETE</w:t>
            </w:r>
          </w:p>
        </w:tc>
      </w:tr>
      <w:tr>
        <w:tc>
          <w:tcPr>
            <w:tcW w:type="dxa" w:w="2880"/>
            <w:shd w:val="clear" w:color="auto" w:fill="FFFFFF"/>
          </w:tcPr>
          <w:p>
            <w:r>
              <w:rPr>
                <w:sz w:val="17"/>
              </w:rPr>
              <w:t>4. Personalization &amp; Edge Freezing</w:t>
            </w:r>
          </w:p>
        </w:tc>
        <w:tc>
          <w:tcPr>
            <w:tcW w:type="dxa" w:w="1872"/>
            <w:shd w:val="clear" w:color="auto" w:fill="FFFFFF"/>
          </w:tcPr>
          <w:p>
            <w:r>
              <w:rPr>
                <w:sz w:val="17"/>
              </w:rPr>
              <w:t>DDP-ERP + CSSP</w:t>
            </w:r>
          </w:p>
        </w:tc>
        <w:tc>
          <w:tcPr>
            <w:tcW w:type="dxa" w:w="4032"/>
            <w:shd w:val="clear" w:color="auto" w:fill="FFFFFF"/>
          </w:tcPr>
          <w:p>
            <w:r>
              <w:rPr>
                <w:sz w:val="17"/>
              </w:rPr>
              <w:t>Formulated entropy-regularized loss and edge freezing, saving 38.0% wire bandwidth (1.52 GB vs 2.48 GB).</w:t>
            </w:r>
          </w:p>
        </w:tc>
        <w:tc>
          <w:tcPr>
            <w:tcW w:type="dxa" w:w="1440"/>
            <w:shd w:val="clear" w:color="auto" w:fill="FFFFFF"/>
          </w:tcPr>
          <w:p>
            <w:r>
              <w:rPr>
                <w:b/>
                <w:color w:val="10B981"/>
                <w:sz w:val="17"/>
              </w:rPr>
              <w:t>100% COMPLETE</w:t>
            </w:r>
          </w:p>
        </w:tc>
      </w:tr>
      <w:tr>
        <w:tc>
          <w:tcPr>
            <w:tcW w:type="dxa" w:w="2880"/>
            <w:shd w:val="clear" w:color="auto" w:fill="F8FAFC"/>
          </w:tcPr>
          <w:p>
            <w:r>
              <w:rPr>
                <w:sz w:val="17"/>
              </w:rPr>
              <w:t>5. Independent External Validation</w:t>
            </w:r>
          </w:p>
        </w:tc>
        <w:tc>
          <w:tcPr>
            <w:tcW w:type="dxa" w:w="1872"/>
            <w:shd w:val="clear" w:color="auto" w:fill="F8FAFC"/>
          </w:tcPr>
          <w:p>
            <w:r>
              <w:rPr>
                <w:sz w:val="17"/>
              </w:rPr>
              <w:t>Transferability</w:t>
            </w:r>
          </w:p>
        </w:tc>
        <w:tc>
          <w:tcPr>
            <w:tcW w:type="dxa" w:w="4032"/>
            <w:shd w:val="clear" w:color="auto" w:fill="F8FAFC"/>
          </w:tcPr>
          <w:p>
            <w:r>
              <w:rPr>
                <w:sz w:val="17"/>
              </w:rPr>
              <w:t>Validated on Osun State UTH cohort (N=1,700), achieving 0.7761 external AUROC and 94.76% Specificity.</w:t>
            </w:r>
          </w:p>
        </w:tc>
        <w:tc>
          <w:tcPr>
            <w:tcW w:type="dxa" w:w="1440"/>
            <w:shd w:val="clear" w:color="auto" w:fill="F8FAFC"/>
          </w:tcPr>
          <w:p>
            <w:r>
              <w:rPr>
                <w:b/>
                <w:color w:val="10B981"/>
                <w:sz w:val="17"/>
              </w:rPr>
              <w:t>100% COMPLETE</w:t>
            </w:r>
          </w:p>
        </w:tc>
      </w:tr>
      <w:tr>
        <w:tc>
          <w:tcPr>
            <w:tcW w:type="dxa" w:w="2880"/>
            <w:shd w:val="clear" w:color="auto" w:fill="FFFFFF"/>
          </w:tcPr>
          <w:p>
            <w:r>
              <w:rPr>
                <w:sz w:val="17"/>
              </w:rPr>
              <w:t>6. Clinical CDSS Workstation</w:t>
            </w:r>
          </w:p>
        </w:tc>
        <w:tc>
          <w:tcPr>
            <w:tcW w:type="dxa" w:w="1872"/>
            <w:shd w:val="clear" w:color="auto" w:fill="FFFFFF"/>
          </w:tcPr>
          <w:p>
            <w:r>
              <w:rPr>
                <w:sz w:val="17"/>
              </w:rPr>
              <w:t>Live System</w:t>
            </w:r>
          </w:p>
        </w:tc>
        <w:tc>
          <w:tcPr>
            <w:tcW w:type="dxa" w:w="4032"/>
            <w:shd w:val="clear" w:color="auto" w:fill="FFFFFF"/>
          </w:tcPr>
          <w:p>
            <w:r>
              <w:rPr>
                <w:sz w:val="17"/>
              </w:rPr>
              <w:t>Deployed 3-tier system (SQLite warehouse + FastAPI backend + React Vite UI) with live PyTorch checkpoints.</w:t>
            </w:r>
          </w:p>
        </w:tc>
        <w:tc>
          <w:tcPr>
            <w:tcW w:type="dxa" w:w="1440"/>
            <w:shd w:val="clear" w:color="auto" w:fill="FFFFFF"/>
          </w:tcPr>
          <w:p>
            <w:r>
              <w:rPr>
                <w:b/>
                <w:color w:val="10B981"/>
                <w:sz w:val="17"/>
              </w:rPr>
              <w:t>100% COMPLETE</w:t>
            </w:r>
          </w:p>
        </w:tc>
      </w:tr>
      <w:tr>
        <w:tc>
          <w:tcPr>
            <w:tcW w:type="dxa" w:w="2880"/>
            <w:shd w:val="clear" w:color="auto" w:fill="F8FAFC"/>
          </w:tcPr>
          <w:p>
            <w:r>
              <w:rPr>
                <w:sz w:val="17"/>
              </w:rPr>
              <w:t>7. Publication Portfolio</w:t>
            </w:r>
          </w:p>
        </w:tc>
        <w:tc>
          <w:tcPr>
            <w:tcW w:type="dxa" w:w="1872"/>
            <w:shd w:val="clear" w:color="auto" w:fill="F8FAFC"/>
          </w:tcPr>
          <w:p>
            <w:r>
              <w:rPr>
                <w:sz w:val="17"/>
              </w:rPr>
              <w:t>Research Output</w:t>
            </w:r>
          </w:p>
        </w:tc>
        <w:tc>
          <w:tcPr>
            <w:tcW w:type="dxa" w:w="4032"/>
            <w:shd w:val="clear" w:color="auto" w:fill="F8FAFC"/>
          </w:tcPr>
          <w:p>
            <w:r>
              <w:rPr>
                <w:sz w:val="17"/>
              </w:rPr>
              <w:t>Prepared 4 complete journal submission packages for Q1 journals (JMIR, IEEE JBHI, Elsevier AIIM, Springer Nature).</w:t>
            </w:r>
          </w:p>
        </w:tc>
        <w:tc>
          <w:tcPr>
            <w:tcW w:type="dxa" w:w="1440"/>
            <w:shd w:val="clear" w:color="auto" w:fill="F8FAFC"/>
          </w:tcPr>
          <w:p>
            <w:r>
              <w:rPr>
                <w:b/>
                <w:color w:val="10B981"/>
                <w:sz w:val="17"/>
              </w:rPr>
              <w:t>100% COMPLETE</w:t>
            </w:r>
          </w:p>
        </w:tc>
      </w:tr>
    </w:tbl>
    <w:p>
      <w:pPr>
        <w:spacing w:before="280" w:after="80"/>
      </w:pPr>
      <w:r>
        <w:rPr>
          <w:b/>
          <w:color w:val="A4123F"/>
          <w:sz w:val="25"/>
        </w:rPr>
        <w:t>13. Research Publication Portfolio</w:t>
      </w:r>
    </w:p>
    <w:p>
      <w:r>
        <w:t>The team has prepared four complete manuscript packages formatted for top-tier peer review submission:</w:t>
      </w:r>
    </w:p>
    <w:p>
      <w:pPr>
        <w:pStyle w:val="ListBullet"/>
        <w:spacing w:after="40"/>
      </w:pPr>
      <w:r>
        <w:rPr>
          <w:b/>
        </w:rPr>
        <w:t xml:space="preserve">1. Journal of Medical Internet Research (JMIR): </w:t>
      </w:r>
      <w:r>
        <w:t>Q1 flagship digital health journal (Impact Factor: 5.8, SJR: 2.109). Formatted Word manuscript (JMIR_Manuscript.docx), cover letter, checklist, and LaTeX proof.</w:t>
      </w:r>
    </w:p>
    <w:p>
      <w:pPr>
        <w:pStyle w:val="ListBullet"/>
        <w:spacing w:after="40"/>
      </w:pPr>
      <w:r>
        <w:rPr>
          <w:b/>
        </w:rPr>
        <w:t xml:space="preserve">2. IEEE Journal of Biomedical and Health Informatics (JBHI): </w:t>
      </w:r>
      <w:r>
        <w:t>Q1 premier health informatics journal (Impact Factor: 6.7). Formatted in standard IEEEtran two-column format.</w:t>
      </w:r>
    </w:p>
    <w:p>
      <w:pPr>
        <w:pStyle w:val="ListBullet"/>
        <w:spacing w:after="40"/>
      </w:pPr>
      <w:r>
        <w:rPr>
          <w:b/>
        </w:rPr>
        <w:t xml:space="preserve">3. Artificial Intelligence in Medicine (Elsevier): </w:t>
      </w:r>
      <w:r>
        <w:t>Q1 clinical AI flagship (Impact Factor: 7.5). Formatted in elsarticle format with full mathematical derivations and 8 high-resolution figures.</w:t>
      </w:r>
    </w:p>
    <w:p>
      <w:pPr>
        <w:pStyle w:val="ListBullet"/>
        <w:spacing w:after="40"/>
      </w:pPr>
      <w:r>
        <w:rPr>
          <w:b/>
        </w:rPr>
        <w:t xml:space="preserve">4. Journal of Medical Systems / Scientific Reports (Springer Nature): </w:t>
      </w:r>
      <w:r>
        <w:t>Q1 biomedical engineering journal (Impact Factor: 4.9). Formatted in Springer Nature layout.</w:t>
      </w:r>
    </w:p>
    <w:p>
      <w:pPr>
        <w:spacing w:before="280" w:after="80"/>
      </w:pPr>
      <w:r>
        <w:rPr>
          <w:b/>
          <w:color w:val="A4123F"/>
          <w:sz w:val="25"/>
        </w:rPr>
        <w:t>14. Individual Contributions &amp; Technical Enrichment Activities (TEA)</w:t>
      </w:r>
    </w:p>
    <w:p>
      <w:pPr>
        <w:spacing w:before="200" w:after="40"/>
      </w:pPr>
      <w:r>
        <w:rPr>
          <w:b/>
          <w:color w:val="0F172A"/>
          <w:sz w:val="22"/>
        </w:rPr>
        <w:t>14.1 Team Member Technical Deliverables</w:t>
      </w:r>
    </w:p>
    <w:p>
      <w:pPr>
        <w:pStyle w:val="ListBullet"/>
        <w:spacing w:after="40"/>
      </w:pPr>
      <w:r>
        <w:rPr>
          <w:b/>
        </w:rPr>
        <w:t xml:space="preserve">SHEELA A. SAKHI (Lead): </w:t>
      </w:r>
      <w:r>
        <w:t>Mathematical formulation of FPDAF-v2, DDP-ERP loss design, master experiment suite execution, and manuscript preparation.</w:t>
      </w:r>
    </w:p>
    <w:p>
      <w:pPr>
        <w:pStyle w:val="ListBullet"/>
        <w:spacing w:after="40"/>
      </w:pPr>
      <w:r>
        <w:rPr>
          <w:b/>
        </w:rPr>
        <w:t xml:space="preserve">HASINI REDDY M: </w:t>
      </w:r>
      <w:r>
        <w:t>Temporal imputation engineering, scaling non-IID partitions, and FedAvg/FedProx/Ditto baseline implementations.</w:t>
      </w:r>
    </w:p>
    <w:p>
      <w:pPr>
        <w:pStyle w:val="ListBullet"/>
        <w:spacing w:after="40"/>
      </w:pPr>
      <w:r>
        <w:rPr>
          <w:b/>
        </w:rPr>
        <w:t xml:space="preserve">KOUSIK S. LAKKARAJU: </w:t>
      </w:r>
      <w:r>
        <w:t>Engineered multi-head temporal self-attention components, saliency attributions, and AD-CUSUM drift thresholds.</w:t>
      </w:r>
    </w:p>
    <w:p>
      <w:pPr>
        <w:pStyle w:val="ListBullet"/>
        <w:spacing w:after="40"/>
      </w:pPr>
      <w:r>
        <w:rPr>
          <w:b/>
        </w:rPr>
        <w:t xml:space="preserve">HASWITHA K: </w:t>
      </w:r>
      <w:r>
        <w:t>High-performance FastAPI REST middleware, SQLite relational schema, and real-time inference integration.</w:t>
      </w:r>
    </w:p>
    <w:p>
      <w:pPr>
        <w:pStyle w:val="ListBullet"/>
        <w:spacing w:after="40"/>
      </w:pPr>
      <w:r>
        <w:rPr>
          <w:b/>
        </w:rPr>
        <w:t xml:space="preserve">V. CHAKRAVARTHY: </w:t>
      </w:r>
      <w:r>
        <w:t>React Vite dashboard integration, preprocessing quality audits, and end-to-end bug verification.</w:t>
      </w:r>
    </w:p>
    <w:p>
      <w:pPr>
        <w:spacing w:before="200" w:after="40"/>
      </w:pPr>
      <w:r>
        <w:rPr>
          <w:b/>
          <w:color w:val="0F172A"/>
          <w:sz w:val="22"/>
        </w:rPr>
        <w:t>14.2 Completed Online Certifications (TEA)</w:t>
      </w:r>
    </w:p>
    <w:p>
      <w:pPr>
        <w:pStyle w:val="ListBullet"/>
        <w:spacing w:after="40"/>
      </w:pPr>
      <w:r>
        <w:rPr>
          <w:b/>
        </w:rPr>
        <w:t xml:space="preserve">SHEELA A. SAKHI: </w:t>
      </w:r>
      <w:r>
        <w:t>Deep Learning Specialization (Coursera) — 20 Hours</w:t>
      </w:r>
    </w:p>
    <w:p>
      <w:pPr>
        <w:pStyle w:val="ListBullet"/>
        <w:spacing w:after="40"/>
      </w:pPr>
      <w:r>
        <w:rPr>
          <w:b/>
        </w:rPr>
        <w:t xml:space="preserve">HASINI REDDY M: </w:t>
      </w:r>
      <w:r>
        <w:t>Developing APIs with FastAPI (Coursera) — 16 Hours</w:t>
      </w:r>
    </w:p>
    <w:p>
      <w:pPr>
        <w:pStyle w:val="ListBullet"/>
        <w:spacing w:after="40"/>
      </w:pPr>
      <w:r>
        <w:rPr>
          <w:b/>
        </w:rPr>
        <w:t xml:space="preserve">KOUSIK S. LAKKARAJU: </w:t>
      </w:r>
      <w:r>
        <w:t>Explainable AI in Healthcare (edX) — 12 Hours</w:t>
      </w:r>
    </w:p>
    <w:p>
      <w:pPr>
        <w:pStyle w:val="ListBullet"/>
        <w:spacing w:after="40"/>
      </w:pPr>
      <w:r>
        <w:rPr>
          <w:b/>
        </w:rPr>
        <w:t xml:space="preserve">HASWITHA K: </w:t>
      </w:r>
      <w:r>
        <w:t>Federated Learning Principles (Coursera) — 15 Hours</w:t>
      </w:r>
    </w:p>
    <w:p>
      <w:pPr>
        <w:pStyle w:val="ListBullet"/>
        <w:spacing w:after="40"/>
      </w:pPr>
      <w:r>
        <w:rPr>
          <w:b/>
        </w:rPr>
        <w:t xml:space="preserve">V. CHAKRAVARTHY: </w:t>
      </w:r>
      <w:r>
        <w:t>Time Series Analysis and Forecasting (Coursera) — 15 Hours</w:t>
      </w:r>
    </w:p>
    <w:p>
      <w:pPr>
        <w:spacing w:before="280" w:after="80"/>
      </w:pPr>
      <w:r>
        <w:rPr>
          <w:b/>
          <w:color w:val="A4123F"/>
          <w:sz w:val="25"/>
        </w:rPr>
        <w:t>15. Project Guide Approval &amp; Official Review Sign-Off</w:t>
      </w:r>
    </w:p>
    <w:p>
      <w:r>
        <w:t>The Review 4 deliverables, algorithmic formulations, benchmark verification, and live workstation demonstration have been thoroughly audited and officially approved by Project Guide Dr. G. R. Ramya and Co-Guide Dr. Vandhana S.</w:t>
      </w:r>
    </w:p>
    <w:p>
      <w:r>
        <w:drawing>
          <wp:inline xmlns:a="http://schemas.openxmlformats.org/drawingml/2006/main" xmlns:pic="http://schemas.openxmlformats.org/drawingml/2006/picture">
            <wp:extent cx="5303520" cy="2795232"/>
            <wp:docPr id="9" name="Picture 9"/>
            <wp:cNvGraphicFramePr>
              <a:graphicFrameLocks noChangeAspect="1"/>
            </wp:cNvGraphicFramePr>
            <a:graphic>
              <a:graphicData uri="http://schemas.openxmlformats.org/drawingml/2006/picture">
                <pic:pic>
                  <pic:nvPicPr>
                    <pic:cNvPr id="0" name="guide_approval_ss.png"/>
                    <pic:cNvPicPr/>
                  </pic:nvPicPr>
                  <pic:blipFill>
                    <a:blip r:embed="rId17"/>
                    <a:stretch>
                      <a:fillRect/>
                    </a:stretch>
                  </pic:blipFill>
                  <pic:spPr>
                    <a:xfrm>
                      <a:off x="0" y="0"/>
                      <a:ext cx="5303520" cy="2795232"/>
                    </a:xfrm>
                    <a:prstGeom prst="rect"/>
                  </pic:spPr>
                </pic:pic>
              </a:graphicData>
            </a:graphic>
          </wp:inline>
        </w:drawing>
      </w:r>
    </w:p>
    <w:p>
      <w:pPr>
        <w:jc w:val="center"/>
      </w:pPr>
      <w:r>
        <w:rPr>
          <w:i/>
          <w:sz w:val="19"/>
        </w:rPr>
        <w:t>Figure 3: Official Project Review Approval and Sign-Off Email from Project Guide Dr. G. R. Ramya.</w:t>
      </w:r>
    </w:p>
    <w:p>
      <w:pPr>
        <w:spacing w:before="280" w:after="80"/>
      </w:pPr>
      <w:r>
        <w:rPr>
          <w:b/>
          <w:color w:val="A4123F"/>
          <w:sz w:val="25"/>
        </w:rPr>
        <w:t>16. Summary of Phase II Deliverables &amp; Code Repositories</w:t>
      </w:r>
    </w:p>
    <w:p>
      <w:pPr>
        <w:pStyle w:val="ListBullet"/>
        <w:spacing w:after="40"/>
      </w:pPr>
      <w:r>
        <w:rPr>
          <w:b/>
        </w:rPr>
        <w:t xml:space="preserve">Personal GitHub Repository: </w:t>
      </w:r>
      <w:r>
        <w:t>https://github.com/aksharsakhi/23CSE498-Project-Phase-II.git</w:t>
      </w:r>
    </w:p>
    <w:p>
      <w:pPr>
        <w:pStyle w:val="ListBullet"/>
        <w:spacing w:after="40"/>
      </w:pPr>
      <w:r>
        <w:rPr>
          <w:b/>
        </w:rPr>
        <w:t xml:space="preserve">Team Organization Repository: </w:t>
      </w:r>
      <w:r>
        <w:t>https://github.com/23CSE-TEAM-28/23CSE498-Project-Phase-II.git</w:t>
      </w:r>
    </w:p>
    <w:p>
      <w:pPr>
        <w:pStyle w:val="ListBullet"/>
        <w:spacing w:after="40"/>
      </w:pPr>
      <w:r>
        <w:rPr>
          <w:b/>
        </w:rPr>
        <w:t xml:space="preserve">Backend Middleware: </w:t>
      </w:r>
      <w:r>
        <w:t>FastAPI backend, SQLite relational warehouse schema, and real-time PyTorch inference.</w:t>
      </w:r>
    </w:p>
    <w:p>
      <w:pPr>
        <w:pStyle w:val="ListBullet"/>
        <w:spacing w:after="40"/>
      </w:pPr>
      <w:r>
        <w:rPr>
          <w:b/>
        </w:rPr>
        <w:t xml:space="preserve">Clinician Workstation: </w:t>
      </w:r>
      <w:r>
        <w:t>React Vite bedside CDSS workstation with Doctor &amp; MLOps admin views.</w:t>
      </w:r>
    </w:p>
    <w:p>
      <w:pPr>
        <w:pStyle w:val="ListBullet"/>
        <w:spacing w:after="40"/>
      </w:pPr>
      <w:r>
        <w:rPr>
          <w:b/>
        </w:rPr>
        <w:t xml:space="preserve">Federated Engine: </w:t>
      </w:r>
      <w:r>
        <w:t>Decentralized federated training engine, AD-CUSUM, and DDP-ERP modules.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