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samenwerking"/>
            <w:bookmarkEnd w:id="0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10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104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104F70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104F70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104F70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104F70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F70" w:rsidRDefault="00104F70">
      <w:pPr>
        <w:spacing w:after="0" w:line="240" w:lineRule="auto"/>
      </w:pPr>
      <w:r>
        <w:separator/>
      </w:r>
    </w:p>
  </w:endnote>
  <w:endnote w:type="continuationSeparator" w:id="0">
    <w:p w:rsidR="00104F70" w:rsidRDefault="001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F70" w:rsidRDefault="00104F70">
      <w:pPr>
        <w:spacing w:after="0" w:line="240" w:lineRule="auto"/>
      </w:pPr>
      <w:r>
        <w:separator/>
      </w:r>
    </w:p>
  </w:footnote>
  <w:footnote w:type="continuationSeparator" w:id="0">
    <w:p w:rsidR="00104F70" w:rsidRDefault="001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Beoordelingsformulier </w:t>
          </w:r>
          <w:r w:rsidR="007B730C">
            <w:t>2</w:t>
          </w:r>
          <w:r>
            <w:t xml:space="preserve">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B365A1" w:rsidRDefault="001D6598" w:rsidP="00B365A1">
          <w:pPr>
            <w:pStyle w:val="Koptekst"/>
          </w:pPr>
          <w:bookmarkStart w:id="1" w:name="_GoBack"/>
          <w:r>
            <w:t>Medewerker ICT beheerder</w:t>
          </w:r>
        </w:p>
        <w:p w:rsidR="00B365A1" w:rsidRDefault="00B365A1" w:rsidP="00B365A1">
          <w:pPr>
            <w:pStyle w:val="Koptekst"/>
          </w:pPr>
          <w:r>
            <w:t xml:space="preserve">Niveau </w:t>
          </w:r>
          <w:r w:rsidR="001D6598">
            <w:t>3</w:t>
          </w:r>
          <w:bookmarkEnd w:id="1"/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104F70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104F70"/>
    <w:rsid w:val="001D6598"/>
    <w:rsid w:val="003F0EC7"/>
    <w:rsid w:val="004238D4"/>
    <w:rsid w:val="004E7A58"/>
    <w:rsid w:val="006B78D1"/>
    <w:rsid w:val="007B730C"/>
    <w:rsid w:val="009C0EBA"/>
    <w:rsid w:val="00A509FE"/>
    <w:rsid w:val="00B365A1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F298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4B5F-28F2-4952-AC80-25CE1975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2</cp:revision>
  <dcterms:created xsi:type="dcterms:W3CDTF">2018-10-03T05:58:00Z</dcterms:created>
  <dcterms:modified xsi:type="dcterms:W3CDTF">2018-10-03T05:58:00Z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