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Rule="auto"/>
        <w:jc w:val="both"/>
        <w:rPr>
          <w:sz w:val="28"/>
          <w:szCs w:val="28"/>
        </w:rPr>
      </w:pPr>
      <w:r w:rsidDel="00000000" w:rsidR="00000000" w:rsidRPr="00000000">
        <w:rPr>
          <w:sz w:val="28"/>
          <w:szCs w:val="28"/>
          <w:rtl w:val="0"/>
        </w:rPr>
        <w:t xml:space="preserve">O armazenamento de dados espaciais exige recursos que vão além dos tipos tradicionais, já que consultas puramente relacionais não calculam distâncias exatas nem determinam intersecções eficientemente. Para resolver isso no PostgreSQL, utiliza-se a extensão PostGIS, que transforma o banco de dados em um sistema geográfico robusto capaz de suportar pontos, linhas e polígonos.</w:t>
      </w:r>
    </w:p>
    <w:p w:rsidR="00000000" w:rsidDel="00000000" w:rsidP="00000000" w:rsidRDefault="00000000" w:rsidRPr="00000000" w14:paraId="00000002">
      <w:pPr>
        <w:spacing w:after="240" w:lineRule="auto"/>
        <w:jc w:val="both"/>
        <w:rPr>
          <w:sz w:val="28"/>
          <w:szCs w:val="28"/>
        </w:rPr>
      </w:pPr>
      <w:r w:rsidDel="00000000" w:rsidR="00000000" w:rsidRPr="00000000">
        <w:rPr>
          <w:sz w:val="28"/>
          <w:szCs w:val="28"/>
          <w:rtl w:val="0"/>
        </w:rPr>
        <w:t xml:space="preserve">A grande vantagem é o uso de índices GiST, que funcionam de forma semelhante aos índices específicos do JSONB e ao GIN da busca textual. Eles criam mapas geométricos que permitem ao banco ir direto ao ponto de interesse sem ler a tabela linha por linha, tornando a busca quase instantânea. O sistema também disponibiliza funções nativas para calcular áreas e distâncias reais sem exigir processamento manual complexo na aplicação.</w:t>
      </w:r>
    </w:p>
    <w:p w:rsidR="00000000" w:rsidDel="00000000" w:rsidP="00000000" w:rsidRDefault="00000000" w:rsidRPr="00000000" w14:paraId="00000003">
      <w:pPr>
        <w:spacing w:after="240" w:lineRule="auto"/>
        <w:jc w:val="both"/>
        <w:rPr>
          <w:sz w:val="28"/>
          <w:szCs w:val="28"/>
        </w:rPr>
      </w:pPr>
      <w:r w:rsidDel="00000000" w:rsidR="00000000" w:rsidRPr="00000000">
        <w:rPr>
          <w:sz w:val="28"/>
          <w:szCs w:val="28"/>
          <w:rtl w:val="0"/>
        </w:rPr>
        <w:t xml:space="preserve">Por outro lado, a manipulação dessas coordenadas exige conhecimento técnico em cartografia para evitar distorções, e consultas com múltiplos polígonos complexos podem demandar alto processamento.</w:t>
      </w:r>
    </w:p>
    <w:p w:rsidR="00000000" w:rsidDel="00000000" w:rsidP="00000000" w:rsidRDefault="00000000" w:rsidRPr="00000000" w14:paraId="00000004">
      <w:pPr>
        <w:spacing w:after="240" w:lineRule="auto"/>
        <w:jc w:val="both"/>
        <w:rPr>
          <w:sz w:val="28"/>
          <w:szCs w:val="28"/>
        </w:rPr>
      </w:pPr>
      <w:r w:rsidDel="00000000" w:rsidR="00000000" w:rsidRPr="00000000">
        <w:rPr>
          <w:sz w:val="28"/>
          <w:szCs w:val="28"/>
          <w:rtl w:val="0"/>
        </w:rPr>
        <w:t xml:space="preserve">A integração de dados de localização com o PostGIS demonstra que a geolocalização não deve ser tratada como texto simples. Essa tecnologia é essencial para sistemas modernos de logística, transporte e mapas, garantindo velocidade e integridade que comandos simples não conseguem entregar.</w:t>
      </w:r>
    </w:p>
    <w:p w:rsidR="00000000" w:rsidDel="00000000" w:rsidP="00000000" w:rsidRDefault="00000000" w:rsidRPr="00000000" w14:paraId="00000005">
      <w:pPr>
        <w:rPr>
          <w:sz w:val="28"/>
          <w:szCs w:val="28"/>
        </w:rPr>
      </w:pPr>
      <w:r w:rsidDel="00000000" w:rsidR="00000000" w:rsidRPr="00000000">
        <w:rPr>
          <w:rtl w:val="0"/>
        </w:rPr>
      </w:r>
    </w:p>
    <w:sectPr>
      <w:pgSz w:h="11906" w:w="16838"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