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sz w:val="36"/>
          <w:szCs w:val="36"/>
        </w:rPr>
        <w:t xml:space="preserve">Workflow Junior-Mining-Erfolgs-Datenbank</w:t>
      </w:r>
    </w:p>
    <w:p>
      <w:pPr>
        <w:spacing w:after="360"/>
      </w:pPr>
      <w:r>
        <w:rPr>
          <w:i/>
          <w:iCs/>
          <w:color w:val="555555"/>
          <w:sz w:val="24"/>
          <w:szCs w:val="24"/>
        </w:rPr>
        <w:t xml:space="preserve">Version 0.1 — Stand 2026-05-14</w:t>
      </w:r>
    </w:p>
    <w:p>
      <w:pPr>
        <w:spacing w:after="120"/>
      </w:pPr>
      <w:r>
        <w:t xml:space="preserve">Operative Anleitung zur Datenerfassung in der Junior-Mining-Erfolgs-Datenbank. Ergaenzt das Konzeptpapier v0.4 (Theorie, Hypothesen, Sample-Definition) durch konkrete Arbeitsregeln fuer Phase 2.</w:t>
      </w:r>
    </w:p>
    <w:p>
      <w:pPr>
        <w:pStyle w:val="Heading1"/>
        <w:spacing w:after="200" w:before="320"/>
      </w:pPr>
      <w:r>
        <w:t xml:space="preserve">1  Zweck und Geltungsbereich</w:t>
      </w:r>
    </w:p>
    <w:p>
      <w:pPr>
        <w:spacing w:after="120"/>
      </w:pPr>
      <w:r>
        <w:t xml:space="preserve">Dieses Dokument beschreibt operativ, wie Daten in die Junior-Mining-Erfolgs-Datenbank eingetragen werden. Es ersetzt nicht das Konzeptpapier, sondern uebersetzt dessen methodische Festlegungen in tagliche Arbeitspraxis.</w:t>
      </w:r>
    </w:p>
    <w:p>
      <w:pPr>
        <w:spacing w:after="120"/>
      </w:pPr>
      <w:r>
        <w:t xml:space="preserve">Geltungsbereich: Phase 2 (Pilot-Datenbank, TSX/TSX-V, Edelmetalle, 25 erfolgreiche + 25 erfolglose Companies, 2006–2026). Spaetere Phasen (Skalierung, Prognose-Modell) koennen Anpassungen erfordern; in diesem Fall wird eine neue Workflow-Version erstellt.</w:t>
      </w:r>
    </w:p>
    <w:p>
      <w:pPr>
        <w:spacing w:after="120"/>
      </w:pPr>
      <w:r>
        <w:t xml:space="preserve">Adressat ist primaer der/die Erfasser:in (zunaechst Lew). Das Dokument soll Wiederholbarkeit und intersubjektive Nachvollziehbarkeit der Datenerhebung sichern.</w:t>
      </w:r>
    </w:p>
    <w:p>
      <w:pPr>
        <w:pStyle w:val="Heading1"/>
        <w:spacing w:after="200" w:before="320"/>
      </w:pPr>
      <w:r>
        <w:t xml:space="preserve">2  Quellenhierarchie</w:t>
      </w:r>
    </w:p>
    <w:p>
      <w:pPr>
        <w:spacing w:after="120"/>
      </w:pPr>
      <w:r>
        <w:t xml:space="preserve">Bei jeder Datenerhebung wird die folgende Hierarchie in absteigender Prioritaet durchgegangen. Eine Information aus einer hoeher gerankten Stufe schlaegt eine widersprechende Information aus einer niedrigeren Stufe, auch wenn die niedrigere Quelle leichter zugaenglich ist.</w:t>
      </w:r>
    </w:p>
    <w:p>
      <w:pPr>
        <w:pStyle w:val="Heading2"/>
        <w:spacing w:after="160" w:before="260"/>
      </w:pPr>
      <w:r>
        <w:t xml:space="preserve">2.1  Stufen</w:t>
      </w:r>
    </w:p>
    <w:p>
      <w:pPr>
        <w:pStyle w:val="ListParagraph"/>
        <w:numPr>
          <w:ilvl w:val="0"/>
          <w:numId w:val="2"/>
        </w:numPr>
        <w:spacing w:after="80"/>
      </w:pPr>
      <w:r>
        <w:t xml:space="preserve">Primaerquellen (regulatorisch): SEDAR+ / SEDI-Filings (AIF, MD&amp;A, Technical Reports nach NI 43-101), SEC EDGAR (bei Cross-Listing), ASX Announcements, AIM Regulatory News Service, JSE SENS.</w:t>
      </w:r>
    </w:p>
    <w:p>
      <w:pPr>
        <w:pStyle w:val="ListParagraph"/>
        <w:numPr>
          <w:ilvl w:val="0"/>
          <w:numId w:val="2"/>
        </w:numPr>
        <w:spacing w:after="80"/>
      </w:pPr>
      <w:r>
        <w:t xml:space="preserve">Primaerquellen (firmenseitig): Pressemitteilungen der Company, Investor Presentations, Annual Reports, Proxy Circulars.</w:t>
      </w:r>
    </w:p>
    <w:p>
      <w:pPr>
        <w:pStyle w:val="ListParagraph"/>
        <w:numPr>
          <w:ilvl w:val="0"/>
          <w:numId w:val="2"/>
        </w:numPr>
        <w:spacing w:after="80"/>
      </w:pPr>
      <w:r>
        <w:t xml:space="preserve">Sekundaerquellen (professionell kuratiert): The Northern Miner (Marco Polo Database), S&amp;P Capital IQ, Bloomberg, BoardEx.</w:t>
      </w:r>
    </w:p>
    <w:p>
      <w:pPr>
        <w:pStyle w:val="ListParagraph"/>
        <w:numPr>
          <w:ilvl w:val="0"/>
          <w:numId w:val="2"/>
        </w:numPr>
        <w:spacing w:after="80"/>
      </w:pPr>
      <w:r>
        <w:t xml:space="preserve">Tertiaerquellen (Industrie-Kommentar): Newsletter (Eric Coffin / HRA, Brent Cook / Exploration Insights, Rick Rule), Fachpresse (Mining.com, Kitco, Northern Miner Editorial), Buecher wie Bonneau (2025).</w:t>
      </w:r>
    </w:p>
    <w:p>
      <w:pPr>
        <w:pStyle w:val="ListParagraph"/>
        <w:numPr>
          <w:ilvl w:val="0"/>
          <w:numId w:val="2"/>
        </w:numPr>
        <w:spacing w:after="80"/>
      </w:pPr>
      <w:r>
        <w:t xml:space="preserve">Wikipedia und allgemeine Internetquellen — ausschliesslich als Hinweisgeber, nie als alleiniger Beleg.</w:t>
      </w:r>
    </w:p>
    <w:p>
      <w:pPr>
        <w:pStyle w:val="Heading2"/>
        <w:spacing w:after="160" w:before="260"/>
      </w:pPr>
      <w:r>
        <w:t xml:space="preserve">2.2  Regel</w:t>
      </w:r>
    </w:p>
    <w:p>
      <w:pPr>
        <w:spacing w:after="120"/>
      </w:pPr>
      <w:r>
        <w:t xml:space="preserve">Sofern eine Information aus Stufe 1–2 verfuegbar ist, wird sie immer der Information aus Stufe 3–5 vorgezogen — selbst dann, wenn die Beschaffung zeitaufwaendiger ist. Das Konzeptpapier (v0.4, Abschnitt 6) begruendet diese Strenge.</w:t>
      </w:r>
    </w:p>
    <w:p>
      <w:pPr>
        <w:pStyle w:val="Heading1"/>
        <w:spacing w:after="200" w:before="320"/>
      </w:pPr>
      <w:r>
        <w:t xml:space="preserve">3  Eingabe-Reihenfolge der Tabellen</w:t>
      </w:r>
    </w:p>
    <w:p>
      <w:pPr>
        <w:spacing w:after="120"/>
      </w:pPr>
      <w:r>
        <w:t xml:space="preserve">Beim Eintragen einer neuen Company wird die folgende Reihenfolge eingehalten. Die Reihenfolge ist nicht beliebig: sie folgt den Foreign-Key-Abhaengigkeiten des Schemas (siehe sql/260514 SQL-Schema Junior-Mining-DB v1.sql).</w:t>
      </w:r>
    </w:p>
    <w:p>
      <w:pPr>
        <w:pStyle w:val="ListParagraph"/>
        <w:numPr>
          <w:ilvl w:val="0"/>
          <w:numId w:val="2"/>
        </w:numPr>
        <w:spacing w:after="80"/>
      </w:pPr>
      <w:r>
        <w:t xml:space="preserve">company — Stammdaten (Name, ISIN, Stock Exchange, Listing-/Delisting-Jahr, Rohstoffe).</w:t>
      </w:r>
    </w:p>
    <w:p>
      <w:pPr>
        <w:pStyle w:val="ListParagraph"/>
        <w:numPr>
          <w:ilvl w:val="0"/>
          <w:numId w:val="2"/>
        </w:numPr>
        <w:spacing w:after="80"/>
      </w:pPr>
      <w:r>
        <w:t xml:space="preserve">person — alle fuer diese Company relevanten Personen (Vorname, Nachname, biographische Eckdaten).</w:t>
      </w:r>
    </w:p>
    <w:p>
      <w:pPr>
        <w:pStyle w:val="ListParagraph"/>
        <w:numPr>
          <w:ilvl w:val="0"/>
          <w:numId w:val="2"/>
        </w:numPr>
        <w:spacing w:after="80"/>
      </w:pPr>
      <w:r>
        <w:t xml:space="preserve">role — Verknuepfung Person ↔ Company mit Rollentyp und Zeitraum.</w:t>
      </w:r>
    </w:p>
    <w:p>
      <w:pPr>
        <w:pStyle w:val="ListParagraph"/>
        <w:numPr>
          <w:ilvl w:val="0"/>
          <w:numId w:val="2"/>
        </w:numPr>
        <w:spacing w:after="80"/>
      </w:pPr>
      <w:r>
        <w:t xml:space="preserve">project — Mineralprojekte der Company (Name, Jurisdiktion, Rohstoffe, Stadium).</w:t>
      </w:r>
    </w:p>
    <w:p>
      <w:pPr>
        <w:pStyle w:val="ListParagraph"/>
        <w:numPr>
          <w:ilvl w:val="0"/>
          <w:numId w:val="2"/>
        </w:numPr>
        <w:spacing w:after="80"/>
      </w:pPr>
      <w:r>
        <w:t xml:space="preserve">outcome — Erfolgs-Score-Komponenten und Exit-Information.</w:t>
      </w:r>
    </w:p>
    <w:p>
      <w:pPr>
        <w:pStyle w:val="ListParagraph"/>
        <w:numPr>
          <w:ilvl w:val="0"/>
          <w:numId w:val="2"/>
        </w:numPr>
        <w:spacing w:after="80"/>
      </w:pPr>
      <w:r>
        <w:t xml:space="preserve">event — Meilensteine (PEA, PFS, FS, Discovery, M&amp;A, Insolvenz, PDAC Award, IPO, Production Start, Resource Estimate).</w:t>
      </w:r>
    </w:p>
    <w:p>
      <w:pPr>
        <w:spacing w:after="120"/>
      </w:pPr>
      <w:r>
        <w:t xml:space="preserve">success_label in der company-Tabelle wird beim Anlegen zunaechst auf "pending" gesetzt und erst nach vollstaendiger Erfassung aller fuer das Labeling relevanten Felder auf den Endwert gesetzt.</w:t>
      </w:r>
    </w:p>
    <w:p>
      <w:pPr>
        <w:pStyle w:val="Heading1"/>
        <w:spacing w:after="200" w:before="320"/>
      </w:pPr>
      <w:r>
        <w:t xml:space="preserve">4  Personen-Disambiguierung</w:t>
      </w:r>
    </w:p>
    <w:p>
      <w:pPr>
        <w:spacing w:after="120"/>
      </w:pPr>
      <w:r>
        <w:t xml:space="preserve">Personennamen sind die zentrale Fehlerquelle des Projekts. Falsch verknuepfte Karrieren entwerten die Auswertung. Folgende Regeln sind einzuhalten:</w:t>
      </w:r>
    </w:p>
    <w:p>
      <w:pPr>
        <w:pStyle w:val="ListParagraph"/>
        <w:numPr>
          <w:ilvl w:val="0"/>
          <w:numId w:val="3"/>
        </w:numPr>
        <w:spacing w:after="80"/>
      </w:pPr>
      <w:r>
        <w:t xml:space="preserve">Speicherung der Originalschreibweise aus der Primaerquelle (in der Regel die Filing-Signatur). Vorname und Nachname werden getrennt erfasst.</w:t>
      </w:r>
    </w:p>
    <w:p>
      <w:pPr>
        <w:pStyle w:val="ListParagraph"/>
        <w:numPr>
          <w:ilvl w:val="0"/>
          <w:numId w:val="3"/>
        </w:numPr>
        <w:spacing w:after="80"/>
      </w:pPr>
      <w:r>
        <w:t xml:space="preserve">Mittlere Initialen werden mitgespeichert, sofern in der Primaerquelle vorhanden (Spalte vorname enthaelt z. B. "Mark R.").</w:t>
      </w:r>
    </w:p>
    <w:p>
      <w:pPr>
        <w:pStyle w:val="ListParagraph"/>
        <w:numPr>
          <w:ilvl w:val="0"/>
          <w:numId w:val="3"/>
        </w:numPr>
        <w:spacing w:after="80"/>
      </w:pPr>
      <w:r>
        <w:t xml:space="preserve">Bei identischen Namen werden die Disambiguierungs-Felder herangezogen: birth_year, education (Universitaet, Abschlussjahr), country, kontextuelle Hinweise aus Filings (frueheren Companies, geographische Verortung).</w:t>
      </w:r>
    </w:p>
    <w:p>
      <w:pPr>
        <w:pStyle w:val="ListParagraph"/>
        <w:numPr>
          <w:ilvl w:val="0"/>
          <w:numId w:val="3"/>
        </w:numPr>
        <w:spacing w:after="80"/>
      </w:pPr>
      <w:r>
        <w:t xml:space="preserve">Bei begruendeter Vermutung gleicher Person trotz abweichender Schreibweise (z. B. "R. M. O'Dea" vs. "Mark O'Dea"): Eintrag als eine Person; die identifizierende Quelle wird in first_mention_source dokumentiert.</w:t>
      </w:r>
    </w:p>
    <w:p>
      <w:pPr>
        <w:pStyle w:val="ListParagraph"/>
        <w:numPr>
          <w:ilvl w:val="0"/>
          <w:numId w:val="3"/>
        </w:numPr>
        <w:spacing w:after="80"/>
      </w:pPr>
      <w:r>
        <w:t xml:space="preserve">Bei Restzweifel: zwei Eintraege anlegen und beide markieren (Hinweis im education-Feld in eckigen Klammern, z. B. "[ggf. identisch mit Person ID 17]"). Spaetere Konsolidierung bleibt moeglich.</w:t>
      </w:r>
    </w:p>
    <w:p>
      <w:pPr>
        <w:pStyle w:val="ListParagraph"/>
        <w:numPr>
          <w:ilvl w:val="0"/>
          <w:numId w:val="3"/>
        </w:numPr>
        <w:spacing w:after="80"/>
      </w:pPr>
      <w:r>
        <w:t xml:space="preserve">Bei mit Sicherheit unterschiedlichen Personen gleichen Namens: zweiter Eintrag, im education-Feld kurzer Differenzierungs-Hinweis.</w:t>
      </w:r>
    </w:p>
    <w:p>
      <w:pPr>
        <w:pStyle w:val="Heading1"/>
        <w:spacing w:after="200" w:before="320"/>
      </w:pPr>
      <w:r>
        <w:t xml:space="preserve">5  Belegpflicht und Quellen-Log</w:t>
      </w:r>
    </w:p>
    <w:p>
      <w:pPr>
        <w:spacing w:after="120"/>
      </w:pPr>
      <w:r>
        <w:t xml:space="preserve">Jede nicht-triviale Aussage in der Datenbank muss belegbar sein. Operativ wird das ueber die separate Datei data/sources.csv geregelt.</w:t>
      </w:r>
    </w:p>
    <w:p>
      <w:pPr>
        <w:pStyle w:val="Heading2"/>
        <w:spacing w:after="160" w:before="260"/>
      </w:pPr>
      <w:r>
        <w:t xml:space="preserve">5.1  Aufbau der sources.csv</w:t>
      </w:r>
    </w:p>
    <w:p>
      <w:pPr>
        <w:pStyle w:val="ListParagraph"/>
        <w:numPr>
          <w:ilvl w:val="0"/>
          <w:numId w:val="3"/>
        </w:numPr>
        <w:spacing w:after="80"/>
      </w:pPr>
      <w:r>
        <w:t xml:space="preserve">Pflichtspalten: source_id, citation, url, accessed_date, source_type.</w:t>
      </w:r>
    </w:p>
    <w:p>
      <w:pPr>
        <w:pStyle w:val="ListParagraph"/>
        <w:numPr>
          <w:ilvl w:val="0"/>
          <w:numId w:val="3"/>
        </w:numPr>
        <w:spacing w:after="80"/>
      </w:pPr>
      <w:r>
        <w:t xml:space="preserve">source_id folgt dem Muster &lt;KUERZEL&gt;-&lt;TICKER/PERSON&gt;-&lt;JAHR&gt;-&lt;TYP&gt;, z. B. SEDAR-AUR-2007-AR (Annual Report Aurelian 2007 auf SEDAR), oder PR-OSK-2009-DRILL (Press Release Osisko 2009 Bohrresultat).</w:t>
      </w:r>
    </w:p>
    <w:p>
      <w:pPr>
        <w:pStyle w:val="ListParagraph"/>
        <w:numPr>
          <w:ilvl w:val="0"/>
          <w:numId w:val="3"/>
        </w:numPr>
        <w:spacing w:after="80"/>
      </w:pPr>
      <w:r>
        <w:t xml:space="preserve">source_type ist eine kontrollierte Vokabel: filing | press | book | academic | web | other.</w:t>
      </w:r>
    </w:p>
    <w:p>
      <w:pPr>
        <w:pStyle w:val="ListParagraph"/>
        <w:numPr>
          <w:ilvl w:val="0"/>
          <w:numId w:val="3"/>
        </w:numPr>
        <w:spacing w:after="80"/>
      </w:pPr>
      <w:r>
        <w:t xml:space="preserve">accessed_date im ISO-8601-Format YYYY-MM-DD.</w:t>
      </w:r>
    </w:p>
    <w:p>
      <w:pPr>
        <w:pStyle w:val="ListParagraph"/>
        <w:numPr>
          <w:ilvl w:val="0"/>
          <w:numId w:val="3"/>
        </w:numPr>
        <w:spacing w:after="80"/>
      </w:pPr>
      <w:r>
        <w:t xml:space="preserve">citation enthaelt die volle bibliografische Angabe, ausreichend fuer eigenstaendiges Wiederauffinden.</w:t>
      </w:r>
    </w:p>
    <w:p>
      <w:pPr>
        <w:pStyle w:val="Heading2"/>
        <w:spacing w:after="160" w:before="260"/>
      </w:pPr>
      <w:r>
        <w:t xml:space="preserve">5.2  Verknuepfung mit der DB</w:t>
      </w:r>
    </w:p>
    <w:p>
      <w:pPr>
        <w:spacing w:after="120"/>
      </w:pPr>
      <w:r>
        <w:t xml:space="preserve">Die SQL-Spalte person.first_mention_source speichert die source_id (nicht die volle Zitation). Analoge Spalten koennen in Phase 3 fuer company, project und event ergaenzt werden. Migration auf eine eigene source-Tabelle mit Foreign Keys ist fuer Phase 3 offen.</w:t>
      </w:r>
    </w:p>
    <w:p>
      <w:pPr>
        <w:pStyle w:val="Heading2"/>
        <w:spacing w:after="160" w:before="260"/>
      </w:pPr>
      <w:r>
        <w:t xml:space="preserve">5.3  Mehrfach-Quellen</w:t>
      </w:r>
    </w:p>
    <w:p>
      <w:pPr>
        <w:spacing w:after="120"/>
      </w:pPr>
      <w:r>
        <w:t xml:space="preserve">Bei mehreren Quellen fuer dieselbe Aussage: die zeitlich frueheste Primaerquelle wird in first_mention_source gespeichert. Weitere Quellen werden in sources.csv ergaenzt (nicht in der DB redundant abgelegt).</w:t>
      </w:r>
    </w:p>
    <w:p>
      <w:pPr>
        <w:pStyle w:val="Heading1"/>
        <w:spacing w:after="200" w:before="320"/>
      </w:pPr>
      <w:r>
        <w:t xml:space="preserve">6  Erfolgs-Labeling (success_label)</w:t>
      </w:r>
    </w:p>
    <w:p>
      <w:pPr>
        <w:spacing w:after="120"/>
      </w:pPr>
      <w:r>
        <w:t xml:space="preserve">success_label nimmt einen von vier Werten an. Wichtig: Das Label wird ex ante aus der Sample-Definition uebernommen, nicht aus dem berechneten Score abgeleitet. Der Score dient der spaeteren empirischen Validierung der Gewichtung (Regression Score ↔ Label).</w:t>
      </w:r>
    </w:p>
    <w:p>
      <w:pPr>
        <w:pStyle w:val="ListParagraph"/>
        <w:numPr>
          <w:ilvl w:val="0"/>
          <w:numId w:val="3"/>
        </w:numPr>
        <w:spacing w:after="80"/>
      </w:pPr>
      <w:r>
        <w:t xml:space="preserve">success — Company gehoert zum vordefinierten Erfolgs-Sample von 25 Companies (Konzeptpapier v0.4, Abschnitt 7.2).</w:t>
      </w:r>
    </w:p>
    <w:p>
      <w:pPr>
        <w:pStyle w:val="ListParagraph"/>
        <w:numPr>
          <w:ilvl w:val="0"/>
          <w:numId w:val="3"/>
        </w:numPr>
        <w:spacing w:after="80"/>
      </w:pPr>
      <w:r>
        <w:t xml:space="preserve">failure — Company gehoert zum Negativ-Sample von 25 Companies (Konzeptpapier v0.4, Abschnitt 8.1).</w:t>
      </w:r>
    </w:p>
    <w:p>
      <w:pPr>
        <w:pStyle w:val="ListParagraph"/>
        <w:numPr>
          <w:ilvl w:val="0"/>
          <w:numId w:val="3"/>
        </w:numPr>
        <w:spacing w:after="80"/>
      </w:pPr>
      <w:r>
        <w:t xml:space="preserve">ambivalent — Company kann nicht eindeutig zugeordnet werden, z. B. weil eine Personalentscheidung methodisch ambivalent ist (Konzeptpapier v0.4, Abschnitt 8.2 — O'Dea, Sussman, Titaro, La Salle).</w:t>
      </w:r>
    </w:p>
    <w:p>
      <w:pPr>
        <w:pStyle w:val="ListParagraph"/>
        <w:numPr>
          <w:ilvl w:val="0"/>
          <w:numId w:val="3"/>
        </w:numPr>
        <w:spacing w:after="80"/>
      </w:pPr>
      <w:r>
        <w:t xml:space="preserve">pending — Eintrag noch unvollstaendig, Label noch nicht final gesetzt.</w:t>
      </w:r>
    </w:p>
    <w:p>
      <w:pPr>
        <w:pStyle w:val="Heading1"/>
        <w:spacing w:after="200" w:before="320"/>
      </w:pPr>
      <w:r>
        <w:t xml:space="preserve">7  Score-Berechnung</w:t>
      </w:r>
    </w:p>
    <w:p>
      <w:pPr>
        <w:spacing w:after="120"/>
      </w:pPr>
      <w:r>
        <w:t xml:space="preserve">Vier Komponenten, jeweils skaliert auf [0,1], anschliessend gewichtet summiert. Die Gewichte sind v0.1-Vorschlag und werden in Phase 3 empirisch kalibriert (Regression gegen success_label des 50-Company-Samples).</w:t>
      </w:r>
    </w:p>
    <w:p>
      <w:pPr>
        <w:pStyle w:val="Heading2"/>
        <w:spacing w:after="160" w:before="260"/>
      </w:pPr>
      <w:r>
        <w:t xml:space="preserve">7.1  Discovery-Score (Gewicht 25 %)</w:t>
      </w:r>
    </w:p>
    <w:p>
      <w:pPr>
        <w:spacing w:after="120"/>
      </w:pPr>
      <w:r>
        <w:t xml:space="preserve">Operationale Frage: Hat die Company eine signifikante Lagerstaette selbst entdeckt oder massgeblich identifiziert?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Punkte</w:t>
            </w:r>
          </w:p>
        </w:tc>
        <w:tc>
          <w:tcPr>
            <w:tcW w:type="dxa" w:w="7626"/>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Kriterium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Eigene Discovery, durch NI 43-101 / JORC bestaetigt, mit nachvollziehbaren Bohrergebnissen.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0.5</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Discovery durch Vorgaenger; signifikante Erweiterung durch die Company (Strike-Extension, neue Zone, bedeutende Grade-Verbesserung).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Keine eigene Discovery; Erwerb einer existierenden Ressource ohne wesentliche Erweiterung.</w:t>
            </w:r>
          </w:p>
        </w:tc>
      </w:tr>
    </w:tbl>
    <w:p>
      <w:pPr>
        <w:pStyle w:val="Heading2"/>
        <w:spacing w:after="160" w:before="260"/>
      </w:pPr>
      <w:r>
        <w:t xml:space="preserve">7.2  Reserve-Conversion-Score (Gewicht 25 %)</w:t>
      </w:r>
    </w:p>
    <w:p>
      <w:pPr>
        <w:spacing w:after="120"/>
      </w:pPr>
      <w:r>
        <w:t xml:space="preserve">Operationale Frage: Wurde die Ressource zu wirtschaftlichen Reserven entwickelt?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Punkte</w:t>
            </w:r>
          </w:p>
        </w:tc>
        <w:tc>
          <w:tcPr>
            <w:tcW w:type="dxa" w:w="7626"/>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Kriterium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Proven + Probable Reserves veroeffentlicht (Feasibility Study FS).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0.6</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Indicated + Measured Resources, Pre-Feasibility Study PFS abgeschlossen.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0.3</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Indicated/Measured Resources, nur PEA.</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Nur Inferred Resources oder keine Resource.</w:t>
            </w:r>
          </w:p>
        </w:tc>
      </w:tr>
    </w:tbl>
    <w:p>
      <w:pPr>
        <w:pStyle w:val="Heading2"/>
        <w:spacing w:after="160" w:before="260"/>
      </w:pPr>
      <w:r>
        <w:t xml:space="preserve">7.3  Exit-/Production-Score (Gewicht 30 %)</w:t>
      </w:r>
    </w:p>
    <w:p>
      <w:pPr>
        <w:spacing w:after="120"/>
      </w:pPr>
      <w:r>
        <w:t xml:space="preserve">Operationale Frage: Wie endete die Company-Story — oder wo steht sie heute, falls noch aktiv?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Punkte</w:t>
            </w:r>
          </w:p>
        </w:tc>
        <w:tc>
          <w:tcPr>
            <w:tcW w:type="dxa" w:w="7626"/>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Kriterium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Akquisition durch Major mit Premium ≥ 30 % ueber 30-Tage-VWAP, oder kommerzielle Produktion erreicht.</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0.7</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Akquisition mit Premium 10–30 %, oder strategisches Joint Venture mit Major.</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0.4</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Merger of Equals, Spin-Off mit Werterhalt, oder Restrukturierung mit Fortbestand.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Insolvenz, Delisting wegen Wertverlust, oder Aufgabe des Hauptprojekts.</w:t>
            </w:r>
          </w:p>
        </w:tc>
      </w:tr>
    </w:tbl>
    <w:p>
      <w:pPr>
        <w:pStyle w:val="Heading2"/>
        <w:spacing w:after="160" w:before="260"/>
      </w:pPr>
      <w:r>
        <w:t xml:space="preserve">7.4  Peak-MarketCap-Score (Gewicht 20 %)</w:t>
      </w:r>
    </w:p>
    <w:p>
      <w:pPr>
        <w:spacing w:after="120"/>
      </w:pPr>
      <w:r>
        <w:t xml:space="preserve">Operationale Frage: Welche Marktkapitalisierung erreichte die Company auf ihrem Hoehepunkt? CAD, nominal (Inflationsanpassung erst in v0.2 des 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Punkte</w:t>
            </w:r>
          </w:p>
        </w:tc>
        <w:tc>
          <w:tcPr>
            <w:tcW w:type="dxa" w:w="7626"/>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Kriterium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Peak MarketCap ≥ 1 Mrd CAD.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0.6</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Peak MarketCap 250 Mio – 1 Mrd CAD.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0.3</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Peak MarketCap 50 – 250 Mio CAD.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0.0</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Peak MarketCap &lt; 50 Mio CAD.</w:t>
            </w:r>
          </w:p>
        </w:tc>
      </w:tr>
    </w:tbl>
    <w:p>
      <w:pPr>
        <w:pStyle w:val="Heading2"/>
        <w:spacing w:after="160" w:before="260"/>
      </w:pPr>
      <w:r>
        <w:t xml:space="preserve">7.5  Gesamt-Score</w:t>
      </w:r>
    </w:p>
    <w:p>
      <w:pPr>
        <w:spacing w:after="120"/>
      </w:pPr>
      <w:r>
        <w:t xml:space="preserve">Formel: </w:t>
      </w:r>
      <w:r>
        <w:rPr>
          <w:b/>
          <w:bCs/>
        </w:rPr>
        <w:t xml:space="preserve">total_score = 0.25 × discovery + 0.25 × reserve_conversion + 0.30 × exit_production + 0.20 × peak_marketcap</w:t>
      </w:r>
    </w:p>
    <w:p>
      <w:pPr>
        <w:spacing w:after="120"/>
      </w:pPr>
      <w:r>
        <w:t xml:space="preserve">Wertebereich [0.0, 1.0]. Der Score wird in der outcome-Tabelle gespeichert. Stadiums- und Inflations-Adjustierungen sowie Sensitivitaetsanalysen sind fuer v0.2 des Workflows vorgesehen.</w:t>
      </w:r>
    </w:p>
    <w:p>
      <w:pPr>
        <w:pStyle w:val="Heading1"/>
        <w:spacing w:after="200" w:before="320"/>
      </w:pPr>
      <w:r>
        <w:t xml:space="preserve">8  Konflikt-Behandlung</w:t>
      </w:r>
    </w:p>
    <w:p>
      <w:pPr>
        <w:spacing w:after="120"/>
      </w:pPr>
      <w:r>
        <w:t xml:space="preserve">Wenn zwei Quellen sich widersprechen, wird in dieser Reihenfolge vorgegangen:</w:t>
      </w:r>
    </w:p>
    <w:p>
      <w:pPr>
        <w:pStyle w:val="ListParagraph"/>
        <w:numPr>
          <w:ilvl w:val="0"/>
          <w:numId w:val="2"/>
        </w:numPr>
        <w:spacing w:after="80"/>
      </w:pPr>
      <w:r>
        <w:t xml:space="preserve">Quelle der hoeheren Hierarchie-Stufe (Abschnitt 2) hat Vorrang.</w:t>
      </w:r>
    </w:p>
    <w:p>
      <w:pPr>
        <w:pStyle w:val="ListParagraph"/>
        <w:numPr>
          <w:ilvl w:val="0"/>
          <w:numId w:val="2"/>
        </w:numPr>
        <w:spacing w:after="80"/>
      </w:pPr>
      <w:r>
        <w:t xml:space="preserve">Bei gleicher Stufe: die zeitlich naehere Quelle zum Ereignis hat Vorrang (z. B. zeitnahes Filing &gt; spaeterer Rueckblick).</w:t>
      </w:r>
    </w:p>
    <w:p>
      <w:pPr>
        <w:pStyle w:val="ListParagraph"/>
        <w:numPr>
          <w:ilvl w:val="0"/>
          <w:numId w:val="2"/>
        </w:numPr>
        <w:spacing w:after="80"/>
      </w:pPr>
      <w:r>
        <w:t xml:space="preserve">Beide Quellen werden in sources.csv erfasst, mit jeweils eigener source_id.</w:t>
      </w:r>
    </w:p>
    <w:p>
      <w:pPr>
        <w:pStyle w:val="ListParagraph"/>
        <w:numPr>
          <w:ilvl w:val="0"/>
          <w:numId w:val="2"/>
        </w:numPr>
        <w:spacing w:after="80"/>
      </w:pPr>
      <w:r>
        <w:t xml:space="preserve">Bei nicht aufloesbaren Widerspruechen: konservativster Wert wird in die DB eingetragen; Begruendung als Kommentar in der citation-Spalte des betroffenen Quelleintrags.</w:t>
      </w:r>
    </w:p>
    <w:p>
      <w:pPr>
        <w:pStyle w:val="Heading1"/>
        <w:spacing w:after="200" w:before="320"/>
      </w:pPr>
      <w:r>
        <w:t xml:space="preserve">9  Konventionen</w:t>
      </w:r>
    </w:p>
    <w:p>
      <w:pPr>
        <w:pStyle w:val="ListParagraph"/>
        <w:numPr>
          <w:ilvl w:val="0"/>
          <w:numId w:val="3"/>
        </w:numPr>
        <w:spacing w:after="80"/>
      </w:pPr>
      <w:r>
        <w:t xml:space="preserve">Datumsformat: ISO 8601 (YYYY-MM-DD). Bei fehlendem Tag: YYYY-MM. Bei fehlendem Monat: YYYY.</w:t>
      </w:r>
    </w:p>
    <w:p>
      <w:pPr>
        <w:pStyle w:val="ListParagraph"/>
        <w:numPr>
          <w:ilvl w:val="0"/>
          <w:numId w:val="3"/>
        </w:numPr>
        <w:spacing w:after="80"/>
      </w:pPr>
      <w:r>
        <w:t xml:space="preserve">Personennamen: Originalschreibweise der Primaerquelle. Diakritika in Unicode (UTF-8).</w:t>
      </w:r>
    </w:p>
    <w:p>
      <w:pPr>
        <w:pStyle w:val="ListParagraph"/>
        <w:numPr>
          <w:ilvl w:val="0"/>
          <w:numId w:val="3"/>
        </w:numPr>
        <w:spacing w:after="80"/>
      </w:pPr>
      <w:r>
        <w:t xml:space="preserve">SQL-Spaltennamen: englisch, snake_case. Ausnahmen sind die historisch gewachsenen Spalten person.vorname und person.nachname.</w:t>
      </w:r>
    </w:p>
    <w:p>
      <w:pPr>
        <w:pStyle w:val="ListParagraph"/>
        <w:numPr>
          <w:ilvl w:val="0"/>
          <w:numId w:val="3"/>
        </w:numPr>
        <w:spacing w:after="80"/>
      </w:pPr>
      <w:r>
        <w:t xml:space="preserve">Waehrungsbetraege: CAD, nominal, ohne Tausendertrennzeichen, Punkt als Dezimaltrennzeichen (z. B. 1250000.00).</w:t>
      </w:r>
    </w:p>
    <w:p>
      <w:pPr>
        <w:pStyle w:val="ListParagraph"/>
        <w:numPr>
          <w:ilvl w:val="0"/>
          <w:numId w:val="3"/>
        </w:numPr>
        <w:spacing w:after="80"/>
      </w:pPr>
      <w:r>
        <w:t xml:space="preserve">Fehlende Daten: SQL NULL (nicht "N/A", nicht Leerstring, nicht "unknown").</w:t>
      </w:r>
    </w:p>
    <w:p>
      <w:pPr>
        <w:pStyle w:val="ListParagraph"/>
        <w:numPr>
          <w:ilvl w:val="0"/>
          <w:numId w:val="3"/>
        </w:numPr>
        <w:spacing w:after="80"/>
      </w:pPr>
      <w:r>
        <w:t xml:space="preserve">Boolesche Werte: 0 / 1 (SQLite hat keinen nativen Boolean-Typ).</w:t>
      </w:r>
    </w:p>
    <w:p>
      <w:pPr>
        <w:pStyle w:val="ListParagraph"/>
        <w:numPr>
          <w:ilvl w:val="0"/>
          <w:numId w:val="3"/>
        </w:numPr>
        <w:spacing w:after="80"/>
      </w:pPr>
      <w:r>
        <w:t xml:space="preserve">Datei-Namens-Konvention im Repo: YYMMDD &lt;Beschreibung&gt;.&lt;ext&gt; (z. B. 260514 SQL-Schema Junior-Mining-DB v1.sql) — siehe CLAUDE.md.</w:t>
      </w:r>
    </w:p>
    <w:p>
      <w:pPr>
        <w:pStyle w:val="ListParagraph"/>
        <w:numPr>
          <w:ilvl w:val="0"/>
          <w:numId w:val="3"/>
        </w:numPr>
        <w:spacing w:after="80"/>
      </w:pPr>
      <w:r>
        <w:t xml:space="preserve">Git-Commits: Subject-Line auf Deutsch, knapp; bei nicht-trivialen Datenaenderungen ein erlaeuternder Body.</w:t>
      </w:r>
    </w:p>
    <w:p>
      <w:pPr>
        <w:pStyle w:val="ListParagraph"/>
        <w:numPr>
          <w:ilvl w:val="0"/>
          <w:numId w:val="3"/>
        </w:numPr>
        <w:spacing w:after="80"/>
      </w:pPr>
      <w:r>
        <w:t xml:space="preserve">SQLite-spezifisch: PRAGMA foreign_keys = ON wird pro Connection in jedem Python-Script gesetzt; sonst greifen die Foreign-Key-Constraints nicht.</w:t>
      </w:r>
    </w:p>
    <w:p>
      <w:pPr>
        <w:pBdr>
          <w:top w:val="single" w:color="888888" w:sz="6" w:space="6"/>
        </w:pBdr>
        <w:spacing w:after="80" w:before="480"/>
      </w:pPr>
      <w:r>
        <w:rPr>
          <w:sz w:val="1"/>
          <w:szCs w:val="1"/>
        </w:rPr>
        <w:t xml:space="preserve"> </w:t>
      </w:r>
    </w:p>
    <w:p>
      <w:pPr>
        <w:spacing w:after="120"/>
      </w:pPr>
      <w:r>
        <w:rPr>
          <w:i/>
          <w:iCs/>
          <w:color w:val="555555"/>
          <w:sz w:val="20"/>
          <w:szCs w:val="20"/>
        </w:rPr>
        <w:t xml:space="preserve">Versionshinweis: Dies ist v0.1 des Workflow-Dokuments. Iteration nach Eingabe der ersten fuenf Matched Pairs vorgesehen (Anpassungen bei Score-Kriterien, Quellen-Hierarchie und Disambiguierungs-Regeln erwartet).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Junior-Mining-Erfolgs-Datenbank v0.1</dc:title>
  <dc:creator>Lew</dc:creator>
  <dc:description>Operative Arbeitsanleitung fuer die Datenerfassung in Phase 2</dc:description>
  <cp:lastModifiedBy>Un-named</cp:lastModifiedBy>
  <cp:revision>1</cp:revision>
  <dcterms:created xsi:type="dcterms:W3CDTF">2026-05-14T20:49:23.846Z</dcterms:created>
  <dcterms:modified xsi:type="dcterms:W3CDTF">2026-05-14T20:49:23.846Z</dcterms:modified>
</cp:coreProperties>
</file>

<file path=docProps/custom.xml><?xml version="1.0" encoding="utf-8"?>
<Properties xmlns="http://schemas.openxmlformats.org/officeDocument/2006/custom-properties" xmlns:vt="http://schemas.openxmlformats.org/officeDocument/2006/docPropsVTypes"/>
</file>