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400"/>
        <w:jc w:val="center"/>
      </w:pPr>
      <w:r>
        <w:rPr>
          <w:rFonts w:ascii="Arial" w:cs="Arial" w:eastAsia="Arial" w:hAnsi="Arial"/>
          <w:b/>
          <w:bCs/>
          <w:sz w:val="44"/>
          <w:szCs w:val="44"/>
        </w:rPr>
        <w:t xml:space="preserve">Entscheidungsvorlage</w:t>
      </w:r>
    </w:p>
    <w:p>
      <w:pPr>
        <w:spacing w:after="200"/>
        <w:jc w:val="center"/>
      </w:pPr>
      <w:r>
        <w:rPr>
          <w:rFonts w:ascii="Arial" w:cs="Arial" w:eastAsia="Arial" w:hAnsi="Arial"/>
          <w:b/>
          <w:bCs/>
          <w:sz w:val="36"/>
          <w:szCs w:val="36"/>
        </w:rPr>
        <w:t xml:space="preserve">Software-Stack für die Pilot-Datenbank</w:t>
      </w:r>
    </w:p>
    <w:p>
      <w:pPr>
        <w:spacing w:after="600"/>
        <w:jc w:val="center"/>
      </w:pPr>
      <w:r>
        <w:rPr>
          <w:i/>
          <w:iCs/>
          <w:color w:val="555555"/>
          <w:sz w:val="24"/>
          <w:szCs w:val="24"/>
        </w:rPr>
        <w:t xml:space="preserve">Junior-Mining Erfolgs-Datenbank — Phase-2-Vorbereitung</w:t>
      </w:r>
    </w:p>
    <w:p>
      <w:pPr>
        <w:spacing w:after="120"/>
        <w:jc w:val="center"/>
      </w:pPr>
      <w:r>
        <w:rPr>
          <w:sz w:val="22"/>
          <w:szCs w:val="22"/>
        </w:rPr>
        <w:t xml:space="preserve">Stand: 14. Mai 2026</w:t>
      </w:r>
    </w:p>
    <w:p>
      <w:pPr>
        <w:spacing w:after="200"/>
        <w:jc w:val="center"/>
      </w:pPr>
      <w:r>
        <w:rPr>
          <w:color w:val="555555"/>
          <w:sz w:val="22"/>
          <w:szCs w:val="22"/>
        </w:rPr>
        <w:t xml:space="preserve">Autor: Lew (mit Unterstützung von Claude)</w:t>
      </w:r>
    </w:p>
    <w:p>
      <w:r>
        <w:br w:type="page"/>
      </w:r>
    </w:p>
    <w:p>
      <w:pPr>
        <w:pStyle w:val="Heading1"/>
        <w:spacing w:after="200" w:before="360"/>
      </w:pPr>
      <w:r>
        <w:t xml:space="preserve">1. Zweck dieses Dokuments</w:t>
      </w:r>
    </w:p>
    <w:p>
      <w:pPr>
        <w:spacing w:after="120" w:line="300"/>
      </w:pPr>
      <w:r>
        <w:t xml:space="preserve">Bevor die Pilot-Datenbank physisch aufgebaut wird, muss die technische Plattform gewählt werden. Dieses Dokument fasst die Anforderungen zusammen, vergleicht vier in Frage kommende Optionen, gibt eine Empfehlung und skizziert den späteren Migrationspfad. Es ist als Diskussionsgrundlage gedacht — die finale Entscheidung treffen wir gemeinsam, bevor die Datenbank erstellt wird.</w:t>
      </w:r>
    </w:p>
    <w:p>
      <w:pPr>
        <w:pStyle w:val="Heading1"/>
        <w:spacing w:after="200" w:before="360"/>
      </w:pPr>
      <w:r>
        <w:t xml:space="preserve">2. Anforderungen an den Stack</w:t>
      </w:r>
    </w:p>
    <w:p>
      <w:pPr>
        <w:spacing w:after="120" w:line="300"/>
      </w:pPr>
      <w:r>
        <w:t xml:space="preserve">Die Pilot-Phase und der spätere Skalierungspfad ergeben folgende Anforderungen:</w:t>
      </w:r>
    </w:p>
    <w:p>
      <w:pPr>
        <w:pStyle w:val="Heading2"/>
        <w:spacing w:after="160" w:before="280"/>
      </w:pPr>
      <w:r>
        <w:t xml:space="preserve">2.1 Datenmodell</w:t>
      </w:r>
    </w:p>
    <w:p>
      <w:pPr>
        <w:pStyle w:val="ListParagraph"/>
        <w:numPr>
          <w:ilvl w:val="0"/>
          <w:numId w:val="2"/>
        </w:numPr>
        <w:spacing w:after="80" w:line="300"/>
      </w:pPr>
      <w:r>
        <w:t xml:space="preserve">Relationales Modell mit sechs Entitäten (Company, Person, Role, Project, Outcome, Event) und Foreign-Key-Beziehungen — siehe Konzeptpapier v0.4 Abschnitt 4.</w:t>
      </w:r>
    </w:p>
    <w:p>
      <w:pPr>
        <w:pStyle w:val="ListParagraph"/>
        <w:numPr>
          <w:ilvl w:val="0"/>
          <w:numId w:val="2"/>
        </w:numPr>
        <w:spacing w:after="80" w:line="300"/>
      </w:pPr>
      <w:r>
        <w:t xml:space="preserve">Mehrere Hundert Datensätze im Pilot (50 Companies × ca. 4 Personen = ~200 Personen + alle Roles, Projects, Events). Spätere Skalierung auf 1.000+ Companies, 5.000+ Personen.</w:t>
      </w:r>
    </w:p>
    <w:p>
      <w:pPr>
        <w:pStyle w:val="ListParagraph"/>
        <w:numPr>
          <w:ilvl w:val="0"/>
          <w:numId w:val="2"/>
        </w:numPr>
        <w:spacing w:after="80" w:line="300"/>
      </w:pPr>
      <w:r>
        <w:t xml:space="preserve">Volltext-Suche und Fuzzy-Matching für Namens-Disambiguierung.</w:t>
      </w:r>
    </w:p>
    <w:p>
      <w:pPr>
        <w:pStyle w:val="Heading2"/>
        <w:spacing w:after="160" w:before="280"/>
      </w:pPr>
      <w:r>
        <w:t xml:space="preserve">2.2 Analyse-Fähigkeit</w:t>
      </w:r>
    </w:p>
    <w:p>
      <w:pPr>
        <w:pStyle w:val="ListParagraph"/>
        <w:numPr>
          <w:ilvl w:val="0"/>
          <w:numId w:val="2"/>
        </w:numPr>
        <w:spacing w:after="80" w:line="300"/>
      </w:pPr>
      <w:r>
        <w:t xml:space="preserve">Phase-2-Pflicht: Logistische Regression auf binäre Erfolgs-Variable. Empirische Score-Gewichts-Kalibrierung (Abschnitt 3.2 des Konzeptpapiers).</w:t>
      </w:r>
    </w:p>
    <w:p>
      <w:pPr>
        <w:pStyle w:val="ListParagraph"/>
        <w:numPr>
          <w:ilvl w:val="0"/>
          <w:numId w:val="2"/>
        </w:numPr>
        <w:spacing w:after="80" w:line="300"/>
      </w:pPr>
      <w:r>
        <w:t xml:space="preserve">Sensitivitätsanalysen über Bootstrap-Resampling.</w:t>
      </w:r>
    </w:p>
    <w:p>
      <w:pPr>
        <w:pStyle w:val="ListParagraph"/>
        <w:numPr>
          <w:ilvl w:val="0"/>
          <w:numId w:val="2"/>
        </w:numPr>
        <w:spacing w:after="80" w:line="300"/>
      </w:pPr>
      <w:r>
        <w:t xml:space="preserve">Test der Nicht-Monotonie-Hypothese (Quantile-Modellierung).</w:t>
      </w:r>
    </w:p>
    <w:p>
      <w:pPr>
        <w:pStyle w:val="Heading2"/>
        <w:spacing w:after="160" w:before="280"/>
      </w:pPr>
      <w:r>
        <w:t xml:space="preserve">2.3 Pragmatik</w:t>
      </w:r>
    </w:p>
    <w:p>
      <w:pPr>
        <w:pStyle w:val="ListParagraph"/>
        <w:numPr>
          <w:ilvl w:val="0"/>
          <w:numId w:val="2"/>
        </w:numPr>
        <w:spacing w:after="80" w:line="300"/>
      </w:pPr>
      <w:r>
        <w:t xml:space="preserve">Lokale Entwicklung auf MacBook Air M4 — kein Server-Setup.</w:t>
      </w:r>
    </w:p>
    <w:p>
      <w:pPr>
        <w:pStyle w:val="ListParagraph"/>
        <w:numPr>
          <w:ilvl w:val="0"/>
          <w:numId w:val="2"/>
        </w:numPr>
        <w:spacing w:after="80" w:line="300"/>
      </w:pPr>
      <w:r>
        <w:t xml:space="preserve">Ein-Personen-Pilot, später optional Mehr-Nutzer-Skalierung.</w:t>
      </w:r>
    </w:p>
    <w:p>
      <w:pPr>
        <w:pStyle w:val="ListParagraph"/>
        <w:numPr>
          <w:ilvl w:val="0"/>
          <w:numId w:val="2"/>
        </w:numPr>
        <w:spacing w:after="80" w:line="300"/>
      </w:pPr>
      <w:r>
        <w:t xml:space="preserve">Open-Source und kostenfrei für die Pilot-Phase bevorzugt — Vendor-Lock-in vermeiden.</w:t>
      </w:r>
    </w:p>
    <w:p>
      <w:pPr>
        <w:pStyle w:val="ListParagraph"/>
        <w:numPr>
          <w:ilvl w:val="0"/>
          <w:numId w:val="2"/>
        </w:numPr>
        <w:spacing w:after="80" w:line="300"/>
      </w:pPr>
      <w:r>
        <w:t xml:space="preserve">Datenexport (CSV/JSON) jederzeit möglich, falls Stack-Wechsel nötig wird.</w:t>
      </w:r>
    </w:p>
    <w:p>
      <w:pPr>
        <w:pStyle w:val="Heading2"/>
        <w:spacing w:after="160" w:before="280"/>
      </w:pPr>
      <w:r>
        <w:t xml:space="preserve">2.4 Methodische Erweiterungen aus v0.4</w:t>
      </w:r>
    </w:p>
    <w:p>
      <w:pPr>
        <w:pStyle w:val="ListParagraph"/>
        <w:numPr>
          <w:ilvl w:val="0"/>
          <w:numId w:val="2"/>
        </w:numPr>
        <w:spacing w:after="80" w:line="300"/>
      </w:pPr>
      <w:r>
        <w:t xml:space="preserve">`production_ramp_up_experience` als Feld in der Person-Entität.</w:t>
      </w:r>
    </w:p>
    <w:p>
      <w:pPr>
        <w:pStyle w:val="ListParagraph"/>
        <w:numPr>
          <w:ilvl w:val="0"/>
          <w:numId w:val="2"/>
        </w:numPr>
        <w:spacing w:after="80" w:line="300"/>
      </w:pPr>
      <w:r>
        <w:t xml:space="preserve">`fraud_flag` als Feld in der Company-Entität.</w:t>
      </w:r>
    </w:p>
    <w:p>
      <w:pPr>
        <w:pStyle w:val="ListParagraph"/>
        <w:numPr>
          <w:ilvl w:val="0"/>
          <w:numId w:val="2"/>
        </w:numPr>
        <w:spacing w:after="80" w:line="300"/>
      </w:pPr>
      <w:r>
        <w:t xml:space="preserve">Ratio-skalierte Track-Record-Variable (nicht binär) — siehe Abschnitt 7.5 des Konzeptpapiers.</w:t>
      </w:r>
    </w:p>
    <w:p>
      <w:r>
        <w:br w:type="page"/>
      </w:r>
    </w:p>
    <w:p>
      <w:pPr>
        <w:pStyle w:val="Heading1"/>
        <w:spacing w:after="200" w:before="360"/>
      </w:pPr>
      <w:r>
        <w:t xml:space="preserve">3. Die vier ernstzunehmenden Optionen</w:t>
      </w:r>
    </w:p>
    <w:p>
      <w:pPr>
        <w:spacing w:after="120" w:line="300"/>
      </w:pPr>
      <w:r>
        <w:t xml:space="preserve">Folgende vier Stacks decken das praktische Spektrum ab. Kein theoretisches Optimum gesucht — sondern das, was unter den Anforderungen oben funktioniert.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400"/>
        <w:gridCol w:w="2560"/>
      </w:tblGrid>
      <w:tr>
        <w:trPr>
          <w:tblHeader/>
        </w:trPr>
        <w:tc>
          <w:tcPr>
            <w:tcW w:type="dxa" w:w="2200"/>
            <w:tcBorders>
              <w:top w:val="single" w:color="BFBFBF" w:sz="4"/>
              <w:left w:val="single" w:color="BFBFBF" w:sz="4"/>
              <w:bottom w:val="single" w:color="BFBFBF" w:sz="4"/>
              <w:right w:val="single" w:color="BFBFBF" w:sz="4"/>
            </w:tcBorders>
            <w:shd w:fill="D9E2F3" w:color="auto" w:val="clear"/>
            <w:tcMar>
              <w:top w:type="dxa" w:w="100"/>
              <w:left w:type="dxa" w:w="140"/>
              <w:bottom w:type="dxa" w:w="100"/>
              <w:right w:type="dxa" w:w="140"/>
            </w:tcMar>
          </w:tcPr>
          <w:p>
            <w:pPr>
              <w:spacing w:after="40"/>
            </w:pPr>
            <w:r>
              <w:rPr>
                <w:b/>
                <w:bCs/>
                <w:sz w:val="20"/>
                <w:szCs w:val="20"/>
              </w:rPr>
              <w:t xml:space="preserve">Option</w:t>
            </w:r>
          </w:p>
        </w:tc>
        <w:tc>
          <w:tcPr>
            <w:tcW w:type="dxa" w:w="2200"/>
            <w:tcBorders>
              <w:top w:val="single" w:color="BFBFBF" w:sz="4"/>
              <w:left w:val="single" w:color="BFBFBF" w:sz="4"/>
              <w:bottom w:val="single" w:color="BFBFBF" w:sz="4"/>
              <w:right w:val="single" w:color="BFBFBF" w:sz="4"/>
            </w:tcBorders>
            <w:shd w:fill="D9E2F3" w:color="auto" w:val="clear"/>
            <w:tcMar>
              <w:top w:type="dxa" w:w="100"/>
              <w:left w:type="dxa" w:w="140"/>
              <w:bottom w:type="dxa" w:w="100"/>
              <w:right w:type="dxa" w:w="140"/>
            </w:tcMar>
          </w:tcPr>
          <w:p>
            <w:pPr>
              <w:spacing w:after="40"/>
            </w:pPr>
            <w:r>
              <w:rPr>
                <w:b/>
                <w:bCs/>
                <w:sz w:val="20"/>
                <w:szCs w:val="20"/>
              </w:rPr>
              <w:t xml:space="preserve">Datenhaltung</w:t>
            </w:r>
          </w:p>
        </w:tc>
        <w:tc>
          <w:tcPr>
            <w:tcW w:type="dxa" w:w="2400"/>
            <w:tcBorders>
              <w:top w:val="single" w:color="BFBFBF" w:sz="4"/>
              <w:left w:val="single" w:color="BFBFBF" w:sz="4"/>
              <w:bottom w:val="single" w:color="BFBFBF" w:sz="4"/>
              <w:right w:val="single" w:color="BFBFBF" w:sz="4"/>
            </w:tcBorders>
            <w:shd w:fill="D9E2F3" w:color="auto" w:val="clear"/>
            <w:tcMar>
              <w:top w:type="dxa" w:w="100"/>
              <w:left w:type="dxa" w:w="140"/>
              <w:bottom w:type="dxa" w:w="100"/>
              <w:right w:type="dxa" w:w="140"/>
            </w:tcMar>
          </w:tcPr>
          <w:p>
            <w:pPr>
              <w:spacing w:after="40"/>
            </w:pPr>
            <w:r>
              <w:rPr>
                <w:b/>
                <w:bCs/>
                <w:sz w:val="20"/>
                <w:szCs w:val="20"/>
              </w:rPr>
              <w:t xml:space="preserve">Analyse-Kopplung</w:t>
            </w:r>
          </w:p>
        </w:tc>
        <w:tc>
          <w:tcPr>
            <w:tcW w:type="dxa" w:w="2560"/>
            <w:tcBorders>
              <w:top w:val="single" w:color="BFBFBF" w:sz="4"/>
              <w:left w:val="single" w:color="BFBFBF" w:sz="4"/>
              <w:bottom w:val="single" w:color="BFBFBF" w:sz="4"/>
              <w:right w:val="single" w:color="BFBFBF" w:sz="4"/>
            </w:tcBorders>
            <w:shd w:fill="D9E2F3" w:color="auto" w:val="clear"/>
            <w:tcMar>
              <w:top w:type="dxa" w:w="100"/>
              <w:left w:type="dxa" w:w="140"/>
              <w:bottom w:type="dxa" w:w="100"/>
              <w:right w:type="dxa" w:w="140"/>
            </w:tcMar>
          </w:tcPr>
          <w:p>
            <w:pPr>
              <w:spacing w:after="40"/>
            </w:pPr>
            <w:r>
              <w:rPr>
                <w:b/>
                <w:bCs/>
                <w:sz w:val="20"/>
                <w:szCs w:val="20"/>
              </w:rPr>
              <w:t xml:space="preserve">Lizenz/Kosten</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sz w:val="20"/>
                <w:szCs w:val="20"/>
              </w:rPr>
              <w:t xml:space="preserve">A) SQLite + Python</w:t>
            </w:r>
          </w:p>
        </w:tc>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sz w:val="20"/>
                <w:szCs w:val="20"/>
              </w:rPr>
              <w:t xml:space="preserve">Lokale Datei (1 .db-File)</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sz w:val="20"/>
                <w:szCs w:val="20"/>
              </w:rPr>
              <w:t xml:space="preserve">Direkt — pandas, scikit-learn lesen SQLite nativ</w:t>
            </w:r>
          </w:p>
        </w:tc>
        <w:tc>
          <w:tcPr>
            <w:tcW w:type="dxa" w:w="25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sz w:val="20"/>
                <w:szCs w:val="20"/>
              </w:rPr>
              <w:t xml:space="preserve">Open Source, frei</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sz w:val="20"/>
                <w:szCs w:val="20"/>
              </w:rPr>
              <w:t xml:space="preserve">B) PostgreSQL + Python</w:t>
            </w:r>
          </w:p>
        </w:tc>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sz w:val="20"/>
                <w:szCs w:val="20"/>
              </w:rPr>
              <w:t xml:space="preserve">Lokaler oder Cloud-Server</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sz w:val="20"/>
                <w:szCs w:val="20"/>
              </w:rPr>
              <w:t xml:space="preserve">Direkt — psycopg2, SQLAlchemy</w:t>
            </w:r>
          </w:p>
        </w:tc>
        <w:tc>
          <w:tcPr>
            <w:tcW w:type="dxa" w:w="25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sz w:val="20"/>
                <w:szCs w:val="20"/>
              </w:rPr>
              <w:t xml:space="preserve">Open Source, frei (Cloud-Hosting kostet)</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sz w:val="20"/>
                <w:szCs w:val="20"/>
              </w:rPr>
              <w:t xml:space="preserve">C) Airtable</w:t>
            </w:r>
          </w:p>
        </w:tc>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sz w:val="20"/>
                <w:szCs w:val="20"/>
              </w:rPr>
              <w:t xml:space="preserve">Cloud-basiert</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sz w:val="20"/>
                <w:szCs w:val="20"/>
              </w:rPr>
              <w:t xml:space="preserve">Indirekt — API-Calls, Daten-Export für Python</w:t>
            </w:r>
          </w:p>
        </w:tc>
        <w:tc>
          <w:tcPr>
            <w:tcW w:type="dxa" w:w="25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sz w:val="20"/>
                <w:szCs w:val="20"/>
              </w:rPr>
              <w:t xml:space="preserve">Free für &lt;1.000 Datensätze, danach ca. EUR 20/Monat</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sz w:val="20"/>
                <w:szCs w:val="20"/>
              </w:rPr>
              <w:t xml:space="preserve">D) Notion Databases</w:t>
            </w:r>
          </w:p>
        </w:tc>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sz w:val="20"/>
                <w:szCs w:val="20"/>
              </w:rPr>
              <w:t xml:space="preserve">Cloud-basiert</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sz w:val="20"/>
                <w:szCs w:val="20"/>
              </w:rPr>
              <w:t xml:space="preserve">Indirekt — Notion-API, kein natives RDBMS</w:t>
            </w:r>
          </w:p>
        </w:tc>
        <w:tc>
          <w:tcPr>
            <w:tcW w:type="dxa" w:w="25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sz w:val="20"/>
                <w:szCs w:val="20"/>
              </w:rPr>
              <w:t xml:space="preserve">Free für Personal, Pro-Tarif ca. EUR 10/Monat</w:t>
            </w:r>
          </w:p>
        </w:tc>
      </w:tr>
    </w:tbl>
    <w:p>
      <w:pPr>
        <w:pStyle w:val="Heading1"/>
        <w:spacing w:after="200" w:before="360"/>
      </w:pPr>
      <w:r>
        <w:t xml:space="preserve">4. Detail-Bewertung pro Option</w:t>
      </w:r>
    </w:p>
    <w:p>
      <w:pPr>
        <w:pStyle w:val="Heading2"/>
        <w:spacing w:after="160" w:before="280"/>
      </w:pPr>
      <w:r>
        <w:t xml:space="preserve">4.1 Option A: SQLite + Python</w:t>
      </w:r>
    </w:p>
    <w:p>
      <w:pPr>
        <w:spacing w:after="120" w:line="300"/>
      </w:pPr>
      <w:r>
        <w:rPr>
          <w:b/>
          <w:bCs/>
        </w:rPr>
        <w:t xml:space="preserve">Stärken: </w:t>
      </w:r>
      <w:r>
        <w:t xml:space="preserve">Null Setup-Aufwand — SQLite ist auf macOS vorinstalliert. Eine einzelne .db-Datei hält die gesamte Datenbank, einfach zu sichern und zu versionieren (z. B. via Git). Volle SQL-Mächtigkeit (Joins, Constraints, Transaktionen). Python-Bibliotheken (pandas, scikit-learn, statsmodels) lesen SQLite direkt — keine API-Brücke nötig. Migrationspfad zu PostgreSQL ist trivial (weitgehend gleicher SQL-Dialekt).</w:t>
      </w:r>
    </w:p>
    <w:p>
      <w:pPr>
        <w:spacing w:after="120" w:line="300"/>
      </w:pPr>
      <w:r>
        <w:rPr>
          <w:b/>
          <w:bCs/>
        </w:rPr>
        <w:t xml:space="preserve">Schwächen: </w:t>
      </w:r>
      <w:r>
        <w:t xml:space="preserve">Kein eingebautes UI — Datenpflege erfolgt entweder über ein GUI-Tool (DB Browser for SQLite, kostenfrei) oder per Python-Scripts. Concurrent-Write-Limits — irrelevant im Ein-Personen-Pilot, würde aber bei Multi-User-Skalierung problematisch.</w:t>
      </w:r>
    </w:p>
    <w:p>
      <w:pPr>
        <w:spacing w:after="120" w:line="300"/>
      </w:pPr>
      <w:r>
        <w:rPr>
          <w:b/>
          <w:bCs/>
        </w:rPr>
        <w:t xml:space="preserve">Aufwand bis 'lauffähig': </w:t>
      </w:r>
      <w:r>
        <w:t xml:space="preserve">ca. 1–2 Stunden (Schema-CREATE + DB Browser installieren + Python-Umgebung).</w:t>
      </w:r>
    </w:p>
    <w:p>
      <w:pPr>
        <w:pStyle w:val="Heading2"/>
        <w:spacing w:after="160" w:before="280"/>
      </w:pPr>
      <w:r>
        <w:t xml:space="preserve">4.2 Option B: PostgreSQL + Python</w:t>
      </w:r>
    </w:p>
    <w:p>
      <w:pPr>
        <w:spacing w:after="120" w:line="300"/>
      </w:pPr>
      <w:r>
        <w:rPr>
          <w:b/>
          <w:bCs/>
        </w:rPr>
        <w:t xml:space="preserve">Stärken: </w:t>
      </w:r>
      <w:r>
        <w:t xml:space="preserve">Industrie-Standard, vollständige RDBMS-Mächtigkeit. Bessere Volltextsuche (tsvector). Skaliert auf Millionen Datensätze. Concurrent Writes problemlos.</w:t>
      </w:r>
    </w:p>
    <w:p>
      <w:pPr>
        <w:spacing w:after="120" w:line="300"/>
      </w:pPr>
      <w:r>
        <w:rPr>
          <w:b/>
          <w:bCs/>
        </w:rPr>
        <w:t xml:space="preserve">Schwächen: </w:t>
      </w:r>
      <w:r>
        <w:t xml:space="preserve">Setup-Overhead — Server installieren oder Cloud-Tarif buchen (Supabase, Neon, Railway). Backup-Routinen brauchen mehr Planung als eine SQLite-Datei. Overkill für 50 Companies.</w:t>
      </w:r>
    </w:p>
    <w:p>
      <w:pPr>
        <w:spacing w:after="120" w:line="300"/>
      </w:pPr>
      <w:r>
        <w:rPr>
          <w:b/>
          <w:bCs/>
        </w:rPr>
        <w:t xml:space="preserve">Aufwand bis 'lauffähig': </w:t>
      </w:r>
      <w:r>
        <w:t xml:space="preserve">ca. 3–5 Stunden (Server-Setup, Schema, Connection, Backup-Strategie).</w:t>
      </w:r>
    </w:p>
    <w:p>
      <w:pPr>
        <w:pStyle w:val="Heading2"/>
        <w:spacing w:after="160" w:before="280"/>
      </w:pPr>
      <w:r>
        <w:t xml:space="preserve">4.3 Option C: Airtable</w:t>
      </w:r>
    </w:p>
    <w:p>
      <w:pPr>
        <w:spacing w:after="120" w:line="300"/>
      </w:pPr>
      <w:r>
        <w:rPr>
          <w:b/>
          <w:bCs/>
        </w:rPr>
        <w:t xml:space="preserve">Stärken: </w:t>
      </w:r>
      <w:r>
        <w:t xml:space="preserve">Hervorragendes Web-UI für nicht-technische Datenpflege. Vorlagen, Filter und Views sind eingebaut. Multi-User-Kollaboration ab Tag eins möglich. REST-API für Python-Anbindung.</w:t>
      </w:r>
    </w:p>
    <w:p>
      <w:pPr>
        <w:spacing w:after="120" w:line="300"/>
      </w:pPr>
      <w:r>
        <w:rPr>
          <w:b/>
          <w:bCs/>
        </w:rPr>
        <w:t xml:space="preserve">Schwächen: </w:t>
      </w:r>
      <w:r>
        <w:t xml:space="preserve">Kein echtes RDBMS — Joins über mehrere Tabellen sind über „Linked Records“ möglich, aber weniger ausdrucksstark als SQL. API-Latenz beim Lesen großer Datenmengen für Regression. Vendor-Lock-in (Datenexport möglich, aber Beziehungen brechen). Kostenpflichtig ab ca. 1.000 Datensätzen pro Tabelle — bei Skalierung auf 5.000+ Personen schnell teuer.</w:t>
      </w:r>
    </w:p>
    <w:p>
      <w:pPr>
        <w:spacing w:after="120" w:line="300"/>
      </w:pPr>
      <w:r>
        <w:rPr>
          <w:b/>
          <w:bCs/>
        </w:rPr>
        <w:t xml:space="preserve">Aufwand bis 'lauffähig': </w:t>
      </w:r>
      <w:r>
        <w:t xml:space="preserve">ca. 1–3 Stunden (Account, Tabellen-Struktur via UI anlegen).</w:t>
      </w:r>
    </w:p>
    <w:p>
      <w:pPr>
        <w:pStyle w:val="Heading2"/>
        <w:spacing w:after="160" w:before="280"/>
      </w:pPr>
      <w:r>
        <w:t xml:space="preserve">4.4 Option D: Notion Databases</w:t>
      </w:r>
    </w:p>
    <w:p>
      <w:pPr>
        <w:spacing w:after="120" w:line="300"/>
      </w:pPr>
      <w:r>
        <w:rPr>
          <w:b/>
          <w:bCs/>
        </w:rPr>
        <w:t xml:space="preserve">Stärken: </w:t>
      </w:r>
      <w:r>
        <w:t xml:space="preserve">Flexibel und integriert in Notes/Wiki-Workflow. Schöne UI. Wenn Lew Notion ohnehin nutzt, geringe Einstiegshürde.</w:t>
      </w:r>
    </w:p>
    <w:p>
      <w:pPr>
        <w:spacing w:after="120" w:line="300"/>
      </w:pPr>
      <w:r>
        <w:rPr>
          <w:b/>
          <w:bCs/>
        </w:rPr>
        <w:t xml:space="preserve">Schwächen: </w:t>
      </w:r>
      <w:r>
        <w:t xml:space="preserve">Notion-„Databases“ sind formal keine relationalen Tabellen — Joins und Constraints sind schwach. Datenintegrität bei 5.000+ Datensätzen wird schwierig. Notion-API ist eher für Workflow-Automation gedacht, nicht für analytische Datenextraktion. Methodisch nicht empfohlen für ein Forschungsvorhaben mit strikten Konsistenzanforderungen.</w:t>
      </w:r>
    </w:p>
    <w:p>
      <w:pPr>
        <w:spacing w:after="120" w:line="300"/>
      </w:pPr>
      <w:r>
        <w:rPr>
          <w:b/>
          <w:bCs/>
        </w:rPr>
        <w:t xml:space="preserve">Aufwand bis 'lauffähig': </w:t>
      </w:r>
      <w:r>
        <w:t xml:space="preserve">ca. 1 Stunde (Pages und Databases anlegen).</w:t>
      </w:r>
    </w:p>
    <w:p>
      <w:r>
        <w:br w:type="page"/>
      </w:r>
    </w:p>
    <w:p>
      <w:pPr>
        <w:pStyle w:val="Heading1"/>
        <w:spacing w:after="200" w:before="360"/>
      </w:pPr>
      <w:r>
        <w:t xml:space="preserve">5. Empfehlung</w:t>
      </w:r>
    </w:p>
    <w:p>
      <w:pPr>
        <w:spacing w:after="120" w:line="300"/>
      </w:pPr>
      <w:r>
        <w:rPr>
          <w:b/>
          <w:bCs/>
        </w:rPr>
        <w:t xml:space="preserve">Empfehlung für die Pilot-Phase: Option A — SQLite + Python.</w:t>
      </w:r>
    </w:p>
    <w:p>
      <w:pPr>
        <w:spacing w:after="120" w:line="300"/>
      </w:pPr>
      <w:r>
        <w:t xml:space="preserve">Begründung in drei Punkten:</w:t>
      </w:r>
    </w:p>
    <w:p>
      <w:pPr>
        <w:pStyle w:val="ListParagraph"/>
        <w:numPr>
          <w:ilvl w:val="0"/>
          <w:numId w:val="3"/>
        </w:numPr>
        <w:spacing w:after="80" w:line="300"/>
      </w:pPr>
      <w:r>
        <w:t xml:space="preserve">Methodische Passung. Die wichtigste Phase-2-Aktivität ist die logistische Regression auf die binäre Erfolgs-Zielvariable. Python (pandas/scikit-learn/statsmodels) ist hier Industrie-Standard, und SQLite ist die einfachste Datenquelle dafür. Cloud-UIs wie Airtable würden für jeden Analyseschritt einen API-Roundtrip erfordern.</w:t>
      </w:r>
    </w:p>
    <w:p>
      <w:pPr>
        <w:pStyle w:val="ListParagraph"/>
        <w:numPr>
          <w:ilvl w:val="0"/>
          <w:numId w:val="3"/>
        </w:numPr>
        <w:spacing w:after="80" w:line="300"/>
      </w:pPr>
      <w:r>
        <w:t xml:space="preserve">Pragmatische Passung. MacBook Air M4 hat SQLite vorinstalliert, DB Browser for SQLite ist eine kostenfreie GUI. Das gesamte Pilot-Setup ist nach ca. 2 Stunden produktiv. Keine Cloud-Abhängigkeit, keine Mietkosten, keine Backup-Komplexität (Time Machine reicht).</w:t>
      </w:r>
    </w:p>
    <w:p>
      <w:pPr>
        <w:pStyle w:val="ListParagraph"/>
        <w:numPr>
          <w:ilvl w:val="0"/>
          <w:numId w:val="3"/>
        </w:numPr>
        <w:spacing w:after="80" w:line="300"/>
      </w:pPr>
      <w:r>
        <w:t xml:space="preserve">Langfristige Passung. Wenn der Pilot funktioniert und wir auf 1.000+ Companies skalieren wollen, ist die Migration SQLite → PostgreSQL trivial — die SQL-Dialekte sind weitgehend identisch, das Schema bleibt 1:1. Bei einem späteren Wechsel zu Airtable/Notion würden wir den umgekehrten Weg gehen (RDBMS-Daten in Cloud-Tabellen exportieren) — auch das ist möglich, aber wir behalten alle Optionen.</w:t>
      </w:r>
    </w:p>
    <w:p>
      <w:pPr>
        <w:spacing w:after="120" w:line="300"/>
      </w:pPr>
      <w:r>
        <w:t xml:space="preserve">Gegen Option B (PostgreSQL) spricht im Pilot allein der Setup-Overhead — in Phase 3 / Skalierung würde sie zur logischen Erweiterung von Option A. Gegen Option C (Airtable) sprechen die methodischen Einschränkungen und die zu erwartenden Lizenzkosten bei Skalierung. Option D (Notion) ist für ein Forschungsprojekt mit strikten Konsistenzanforderungen nicht geeignet.</w:t>
      </w:r>
    </w:p>
    <w:p>
      <w:pPr>
        <w:pStyle w:val="Heading1"/>
        <w:spacing w:after="200" w:before="360"/>
      </w:pPr>
      <w:r>
        <w:t xml:space="preserve">6. Migrationspfad</w:t>
      </w:r>
    </w:p>
    <w:p>
      <w:pPr>
        <w:spacing w:after="120" w:line="300"/>
      </w:pPr>
      <w:r>
        <w:t xml:space="preserve">Die Empfehlung erfolgt mit Blick auf langfristige Skalierbarkeit. Der Pfad sieht so aus: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4760"/>
      </w:tblGrid>
      <w:tr>
        <w:trPr>
          <w:tblHeader/>
        </w:trPr>
        <w:tc>
          <w:tcPr>
            <w:tcW w:type="dxa" w:w="1800"/>
            <w:tcBorders>
              <w:top w:val="single" w:color="BFBFBF" w:sz="4"/>
              <w:left w:val="single" w:color="BFBFBF" w:sz="4"/>
              <w:bottom w:val="single" w:color="BFBFBF" w:sz="4"/>
              <w:right w:val="single" w:color="BFBFBF" w:sz="4"/>
            </w:tcBorders>
            <w:shd w:fill="D9E2F3" w:color="auto" w:val="clear"/>
            <w:tcMar>
              <w:top w:type="dxa" w:w="100"/>
              <w:left w:type="dxa" w:w="140"/>
              <w:bottom w:type="dxa" w:w="100"/>
              <w:right w:type="dxa" w:w="140"/>
            </w:tcMar>
          </w:tcPr>
          <w:p>
            <w:pPr>
              <w:spacing w:after="40"/>
            </w:pPr>
            <w:r>
              <w:rPr>
                <w:b/>
                <w:bCs/>
                <w:sz w:val="20"/>
                <w:szCs w:val="20"/>
              </w:rPr>
              <w:t xml:space="preserve">Phase</w:t>
            </w:r>
          </w:p>
        </w:tc>
        <w:tc>
          <w:tcPr>
            <w:tcW w:type="dxa" w:w="2800"/>
            <w:tcBorders>
              <w:top w:val="single" w:color="BFBFBF" w:sz="4"/>
              <w:left w:val="single" w:color="BFBFBF" w:sz="4"/>
              <w:bottom w:val="single" w:color="BFBFBF" w:sz="4"/>
              <w:right w:val="single" w:color="BFBFBF" w:sz="4"/>
            </w:tcBorders>
            <w:shd w:fill="D9E2F3" w:color="auto" w:val="clear"/>
            <w:tcMar>
              <w:top w:type="dxa" w:w="100"/>
              <w:left w:type="dxa" w:w="140"/>
              <w:bottom w:type="dxa" w:w="100"/>
              <w:right w:type="dxa" w:w="140"/>
            </w:tcMar>
          </w:tcPr>
          <w:p>
            <w:pPr>
              <w:spacing w:after="40"/>
            </w:pPr>
            <w:r>
              <w:rPr>
                <w:b/>
                <w:bCs/>
                <w:sz w:val="20"/>
                <w:szCs w:val="20"/>
              </w:rPr>
              <w:t xml:space="preserve">Stack</w:t>
            </w:r>
          </w:p>
        </w:tc>
        <w:tc>
          <w:tcPr>
            <w:tcW w:type="dxa" w:w="4760"/>
            <w:tcBorders>
              <w:top w:val="single" w:color="BFBFBF" w:sz="4"/>
              <w:left w:val="single" w:color="BFBFBF" w:sz="4"/>
              <w:bottom w:val="single" w:color="BFBFBF" w:sz="4"/>
              <w:right w:val="single" w:color="BFBFBF" w:sz="4"/>
            </w:tcBorders>
            <w:shd w:fill="D9E2F3" w:color="auto" w:val="clear"/>
            <w:tcMar>
              <w:top w:type="dxa" w:w="100"/>
              <w:left w:type="dxa" w:w="140"/>
              <w:bottom w:type="dxa" w:w="100"/>
              <w:right w:type="dxa" w:w="140"/>
            </w:tcMar>
          </w:tcPr>
          <w:p>
            <w:pPr>
              <w:spacing w:after="40"/>
            </w:pPr>
            <w:r>
              <w:rPr>
                <w:b/>
                <w:bCs/>
                <w:sz w:val="20"/>
                <w:szCs w:val="20"/>
              </w:rPr>
              <w:t xml:space="preserve">Trigger / Anlass</w:t>
            </w:r>
          </w:p>
        </w:tc>
      </w:tr>
      <w:tr>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sz w:val="20"/>
                <w:szCs w:val="20"/>
              </w:rPr>
              <w:t xml:space="preserve">Pilot (Phase 2)</w:t>
            </w:r>
          </w:p>
        </w:tc>
        <w:tc>
          <w:tcPr>
            <w:tcW w:type="dxa" w:w="2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sz w:val="20"/>
                <w:szCs w:val="20"/>
              </w:rPr>
              <w:t xml:space="preserve">SQLite + Python + DB Browser GUI</w:t>
            </w:r>
          </w:p>
        </w:tc>
        <w:tc>
          <w:tcPr>
            <w:tcW w:type="dxa" w:w="47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sz w:val="20"/>
                <w:szCs w:val="20"/>
              </w:rPr>
              <w:t xml:space="preserve">Sofort einsetzbar, 50 Companies, manuelle Datenpflege, lokale Analyse</w:t>
            </w:r>
          </w:p>
        </w:tc>
      </w:tr>
      <w:tr>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sz w:val="20"/>
                <w:szCs w:val="20"/>
              </w:rPr>
              <w:t xml:space="preserve">Skalierung (Phase 3)</w:t>
            </w:r>
          </w:p>
        </w:tc>
        <w:tc>
          <w:tcPr>
            <w:tcW w:type="dxa" w:w="2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sz w:val="20"/>
                <w:szCs w:val="20"/>
              </w:rPr>
              <w:t xml:space="preserve">PostgreSQL + Python + ggf. Streamlit-/Flask-UI</w:t>
            </w:r>
          </w:p>
        </w:tc>
        <w:tc>
          <w:tcPr>
            <w:tcW w:type="dxa" w:w="47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sz w:val="20"/>
                <w:szCs w:val="20"/>
              </w:rPr>
              <w:t xml:space="preserve">Wenn &gt;500 Companies oder Multi-User-Bedarf entsteht; Migration über pg_dump aus SQLite-Export</w:t>
            </w:r>
          </w:p>
        </w:tc>
      </w:tr>
      <w:tr>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sz w:val="20"/>
                <w:szCs w:val="20"/>
              </w:rPr>
              <w:t xml:space="preserve">Anwendung (Phase 4)</w:t>
            </w:r>
          </w:p>
        </w:tc>
        <w:tc>
          <w:tcPr>
            <w:tcW w:type="dxa" w:w="2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sz w:val="20"/>
                <w:szCs w:val="20"/>
              </w:rPr>
              <w:t xml:space="preserve">PostgreSQL (Cloud) + Web-Frontend (React/Streamlit)</w:t>
            </w:r>
          </w:p>
        </w:tc>
        <w:tc>
          <w:tcPr>
            <w:tcW w:type="dxa" w:w="47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sz w:val="20"/>
                <w:szCs w:val="20"/>
              </w:rPr>
              <w:t xml:space="preserve">Falls Veröffentlichung als Tool/Newsletter; ggf. Übergang zu Managed-Hosting (Supabase, Neon)</w:t>
            </w:r>
          </w:p>
        </w:tc>
      </w:tr>
    </w:tbl>
    <w:p>
      <w:r>
        <w:br w:type="page"/>
      </w:r>
    </w:p>
    <w:p>
      <w:pPr>
        <w:pStyle w:val="Heading1"/>
        <w:spacing w:after="200" w:before="360"/>
      </w:pPr>
      <w:r>
        <w:t xml:space="preserve">7. Konkrete nächste Schritte (nach Freigabe)</w:t>
      </w:r>
    </w:p>
    <w:p>
      <w:pPr>
        <w:spacing w:after="120" w:line="300"/>
      </w:pPr>
      <w:r>
        <w:t xml:space="preserve">Wenn die Empfehlung angenommen wird, folgt unmittelbar:</w:t>
      </w:r>
    </w:p>
    <w:p>
      <w:pPr>
        <w:pStyle w:val="ListParagraph"/>
        <w:numPr>
          <w:ilvl w:val="0"/>
          <w:numId w:val="3"/>
        </w:numPr>
        <w:spacing w:after="80" w:line="300"/>
      </w:pPr>
      <w:r>
        <w:t xml:space="preserve">Python-Umgebung auf MacBook Air M4 prüfen / einrichten (Python 3.12+, pandas, sqlite3 ist Standard-Bibliothek).</w:t>
      </w:r>
    </w:p>
    <w:p>
      <w:pPr>
        <w:pStyle w:val="ListParagraph"/>
        <w:numPr>
          <w:ilvl w:val="0"/>
          <w:numId w:val="3"/>
        </w:numPr>
        <w:spacing w:after="80" w:line="300"/>
      </w:pPr>
      <w:r>
        <w:t xml:space="preserve">DB Browser for SQLite installieren (sqlitebrowser.org, kostenfrei) — für visuelle Datenpflege.</w:t>
      </w:r>
    </w:p>
    <w:p>
      <w:pPr>
        <w:pStyle w:val="ListParagraph"/>
        <w:numPr>
          <w:ilvl w:val="0"/>
          <w:numId w:val="3"/>
        </w:numPr>
        <w:spacing w:after="80" w:line="300"/>
      </w:pPr>
      <w:r>
        <w:t xml:space="preserve">Schema-Datei (SQL CREATE TABLE-Statements) für die sechs Entitäten aus Konzeptpapier v0.4 Abschnitt 4 erstellen, inklusive der in v0.4 ergänzten Felder (production_ramp_up_experience, fraud_flag).</w:t>
      </w:r>
    </w:p>
    <w:p>
      <w:pPr>
        <w:pStyle w:val="ListParagraph"/>
        <w:numPr>
          <w:ilvl w:val="0"/>
          <w:numId w:val="3"/>
        </w:numPr>
        <w:spacing w:after="80" w:line="300"/>
      </w:pPr>
      <w:r>
        <w:t xml:space="preserve">Erste Datenbank-Datei anlegen, Schema ausführen, Sanity-Check mit ein bis zwei Beispiel-Companies (z. B. Aurelian Resources und Crystallex als Matched Pair).</w:t>
      </w:r>
    </w:p>
    <w:p>
      <w:pPr>
        <w:pStyle w:val="ListParagraph"/>
        <w:numPr>
          <w:ilvl w:val="0"/>
          <w:numId w:val="3"/>
        </w:numPr>
        <w:spacing w:after="80" w:line="300"/>
      </w:pPr>
      <w:r>
        <w:t xml:space="preserve">Workflow-Dokument schreiben: pro Company welche Quellen in welcher Reihenfolge, welche Felder pro Quelle (das ist die zweite Phase-2-Vorbereitungsaufgabe).</w:t>
      </w:r>
    </w:p>
    <w:p>
      <w:pPr>
        <w:spacing w:after="120" w:line="300"/>
      </w:pPr>
      <w:r>
        <w:t xml:space="preserve">Aufwand bis Schritt 4 (lauffähige Datenbank mit zwei Beispiel-Companies): geschätzt zwei bis drei Stunden. Danach ist die Datenbank physisch existent und bereit für die manuelle Datenpflege der 50 Pilot-Companies.</w:t>
      </w:r>
    </w:p>
    <w:p>
      <w:pPr>
        <w:pStyle w:val="Heading1"/>
        <w:spacing w:after="200" w:before="360"/>
      </w:pPr>
      <w:r>
        <w:t xml:space="preserve">8. Offene Frage zur Klärung</w:t>
      </w:r>
    </w:p>
    <w:p>
      <w:pPr>
        <w:spacing w:after="120" w:line="300"/>
      </w:pPr>
      <w:r>
        <w:t xml:space="preserve">Eine Frage bleibt vor dem Schritt 'Schema erstellen' offen: Möchtest du, dass das gesamte Projekt-Verzeichnis (also die SQLite-Datei plus Python-Scripts plus Konzeptpapier) per Git versioniert wird? Empfehlung: Ja — es schützt vor versehentlichem Datenverlust und dokumentiert die Entstehungsgeschichte. Aber das ist eine Entscheidung, die mit dem Stack zusammenhängt und am besten jetzt mitgetroffen wird.</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color w:val="808080"/>
        <w:sz w:val="18"/>
        <w:szCs w:val="18"/>
      </w:rPr>
      <w:t xml:space="preserve">Stand: 14. Mai 2026</w:t>
    </w:r>
    <w:r>
      <w:rPr>
        <w:sz w:val="18"/>
        <w:szCs w:val="18"/>
      </w:rPr>
      <w:t xml:space="preserve">	</w:t>
    </w:r>
    <w:r>
      <w:rPr>
        <w:color w:val="808080"/>
        <w:sz w:val="18"/>
        <w:szCs w:val="18"/>
      </w:rPr>
      <w:t xml:space="preserve">Seite </w:t>
    </w:r>
    <w:r>
      <w:rPr>
        <w:color w:val="808080"/>
        <w:sz w:val="18"/>
        <w:szCs w:val="18"/>
      </w:rPr>
      <w:fldChar w:fldCharType="begin"/>
      <w:instrText xml:space="preserve">PAGE</w:instrText>
      <w:fldChar w:fldCharType="separate"/>
      <w:fldChar w:fldCharType="end"/>
    </w:r>
    <w:r>
      <w:rPr>
        <w:color w:val="808080"/>
        <w:sz w:val="18"/>
        <w:szCs w:val="18"/>
      </w:rPr>
      <w:t xml:space="preserve"> von </w:t>
    </w:r>
    <w:r>
      <w:rPr>
        <w:color w:val="80808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808080"/>
        <w:sz w:val="18"/>
        <w:szCs w:val="18"/>
      </w:rPr>
      <w:t xml:space="preserve">Software-Stack-Entscheidung — Junior-Mining-Datenbank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3864"/>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2E5395"/>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Software-Stack-Entscheidung — Pilot Junior-Mining-Datenbank</dc:title>
  <dc:creator>Lew (mit Unterstützung von Claude)</dc:creator>
  <dc:description>Phase-2-Vorbereitung: SQLite + Python als empfohlener Pilot-Stack</dc:description>
  <cp:lastModifiedBy>Un-named</cp:lastModifiedBy>
  <cp:revision>1</cp:revision>
  <dcterms:created xsi:type="dcterms:W3CDTF">2026-05-14T14:20:08.051Z</dcterms:created>
  <dcterms:modified xsi:type="dcterms:W3CDTF">2026-05-14T14:20:08.051Z</dcterms:modified>
</cp:coreProperties>
</file>

<file path=docProps/custom.xml><?xml version="1.0" encoding="utf-8"?>
<Properties xmlns="http://schemas.openxmlformats.org/officeDocument/2006/custom-properties" xmlns:vt="http://schemas.openxmlformats.org/officeDocument/2006/docPropsVTypes"/>
</file>