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48"/>
          <w:szCs w:val="48"/>
        </w:rPr>
        <w:t xml:space="preserve">Konzeptpapier</w:t>
      </w:r>
    </w:p>
    <w:p>
      <w:pPr>
        <w:spacing w:after="200"/>
        <w:jc w:val="center"/>
      </w:pPr>
      <w:r>
        <w:rPr>
          <w:rFonts w:ascii="Arial" w:cs="Arial" w:eastAsia="Arial" w:hAnsi="Arial"/>
          <w:b/>
          <w:bCs/>
          <w:sz w:val="40"/>
          <w:szCs w:val="40"/>
        </w:rPr>
        <w:t xml:space="preserve">Junior-Mining Erfolgs-Datenbank</w:t>
      </w:r>
    </w:p>
    <w:p>
      <w:pPr>
        <w:spacing w:after="600"/>
        <w:jc w:val="center"/>
      </w:pPr>
      <w:r>
        <w:rPr>
          <w:i/>
          <w:iCs/>
          <w:color w:val="555555"/>
          <w:sz w:val="26"/>
          <w:szCs w:val="26"/>
        </w:rPr>
        <w:t xml:space="preserve">Personal-Track-Record als Prädiktor für unternehmerischen Erfolg</w:t>
      </w:r>
    </w:p>
    <w:p>
      <w:pPr>
        <w:spacing w:after="120"/>
        <w:jc w:val="center"/>
      </w:pPr>
      <w:r>
        <w:rPr>
          <w:sz w:val="22"/>
          <w:szCs w:val="22"/>
        </w:rPr>
        <w:t xml:space="preserve">Version 0.2 — methodisch revidiert</w:t>
      </w:r>
    </w:p>
    <w:p>
      <w:pPr>
        <w:spacing w:after="120"/>
        <w:jc w:val="center"/>
      </w:pPr>
      <w:r>
        <w:rPr>
          <w:sz w:val="22"/>
          <w:szCs w:val="22"/>
        </w:rPr>
        <w:t xml:space="preserve">Stand: 14. Mai 2026</w:t>
      </w:r>
    </w:p>
    <w:p>
      <w:pPr>
        <w:spacing w:after="200"/>
        <w:jc w:val="center"/>
      </w:pPr>
      <w:r>
        <w:rPr>
          <w:color w:val="555555"/>
          <w:sz w:val="22"/>
          <w:szCs w:val="22"/>
        </w:rPr>
        <w:t xml:space="preserve">Autor: Lew (mit Unterstützung von Claude)</w:t>
      </w:r>
    </w:p>
    <w:p>
      <w:r>
        <w:br w:type="page"/>
      </w:r>
    </w:p>
    <w:p>
      <w:pPr>
        <w:pStyle w:val="Heading1"/>
        <w:spacing w:after="240" w:before="0"/>
      </w:pPr>
      <w:r>
        <w:t xml:space="preserve">Inhaltsverzeichnis</w:t>
      </w:r>
    </w:p>
    <w:sdt>
      <w:sdtPr>
        <w:alias w:val="Inhal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Zusammenfassung</w:t>
      </w:r>
    </w:p>
    <w:p>
      <w:pPr>
        <w:spacing w:after="120" w:line="300"/>
      </w:pPr>
      <w:r>
        <w:t xml:space="preserve">Dieses Konzeptpapier beschreibt den Aufbau einer strukturierten Datenbank, die erfolgreiche Junior-Mining-Unternehmen der letzten 20 Jahre identifiziert, das daran beteiligte Schlüsselpersonal erfasst und Personen über mehrere Unternehmungen hinweg verknüpft. Ziel ist es, die in der Branche weit verbreitete, aber bisher quantitativ unbelegte Hypothese zu prüfen: Junior Miners mit Personal, das bereits in der Vergangenheit erfolgreich war, haben eine signifikant höhere Erfolgswahrscheinlichkeit als Unternehmen ohne entsprechenden Track Record.</w:t>
      </w:r>
    </w:p>
    <w:p>
      <w:pPr>
        <w:spacing w:after="120" w:line="300"/>
      </w:pPr>
      <w:r>
        <w:t xml:space="preserve">Das Projekt umfasst global die vier wichtigsten Junior-Mining-Börsen (TSX/TSX-V, ASX, AIM, JSE), in der Initialphase Edelmetalle und Basismetalle. Erfolg wird über einen Multi-Kriterien-Score operationalisiert (Discovery, Reserve-Conversion, M&amp;A-Exit/Produktion, Peak-Marktkapitalisierung), wobei die Gewichtung der Dimensionen in Phase 2 empirisch über logistische Regression kalibriert wird — und nicht vorab heuristisch festgelegt. Erfasst werden CEO, Chairman, VP Exploration/Chief Geologist, CFO sowie Cornerstone-Investoren und Anker-Aktionäre.</w:t>
      </w:r>
    </w:p>
    <w:p>
      <w:pPr>
        <w:spacing w:after="120" w:line="300"/>
      </w:pPr>
      <w:r>
        <w:rPr>
          <w:b/>
          <w:bCs/>
        </w:rPr>
        <w:t xml:space="preserve">Abgrenzung: </w:t>
      </w:r>
      <w:r>
        <w:t xml:space="preserve">Der Score ist bewusst personenzentriert konzipiert und damit komplementär zu firmenzentrierten Bewertungssystemen wie dem Crux Investor Index. Crux fragt: „Wie gut führt dieses Team diese Firma?“ — unser Score fragt: „Hat diese Person in der Vergangenheit Erfolge geliefert?“ Beide Größen sind unabhängig.</w:t>
      </w:r>
    </w:p>
    <w:p>
      <w:pPr>
        <w:spacing w:after="120" w:line="300"/>
      </w:pPr>
      <w:r>
        <w:t xml:space="preserve">Vorgeschlagen wird ein viergliedriger Phasenplan, beginnend mit einem eng abgegrenzten Pilot (TSX/TSX-V, Edelmetalle, 50 Unternehmen) zur Validierung des Datenmodells und der empirischen Score-Kalibrierung, bevor in späteren Phasen auf den globalen Scope skaliert wird.</w:t>
      </w:r>
    </w:p>
    <w:p>
      <w:pPr>
        <w:spacing w:after="120" w:line="300"/>
      </w:pPr>
      <w:r>
        <w:rPr>
          <w:b/>
          <w:bCs/>
          <w:i/>
          <w:iCs/>
        </w:rPr>
        <w:t xml:space="preserve">Änderungen gegenüber Version 0.1: </w:t>
      </w:r>
      <w:r>
        <w:rPr>
          <w:i/>
          <w:iCs/>
        </w:rPr>
        <w:t xml:space="preserve">(1) Verzicht auf erfundene Score-Gewichtung zugunsten empirischer Kalibrierung in Phase 2. (2) Explizite Abgrenzung zu Crux Investor: personenzentriert statt firmenzentriert. (3) Aufnahme der Nicht-Monotonie-Hypothese (Sweet-Spot statt linearer Effekt). (4) Stadiums-Sensitivität der Score-Interpretation als methodisches Prinzip.</w:t>
      </w:r>
    </w:p>
    <w:p>
      <w:r>
        <w:br w:type="page"/>
      </w:r>
    </w:p>
    <w:p>
      <w:pPr>
        <w:pStyle w:val="Heading1"/>
        <w:spacing w:after="200" w:before="360"/>
      </w:pPr>
      <w:r>
        <w:t xml:space="preserve">1. Zielsetzung und Hypothese</w:t>
      </w:r>
    </w:p>
    <w:p>
      <w:pPr>
        <w:pStyle w:val="Heading2"/>
        <w:spacing w:after="160" w:before="280"/>
      </w:pPr>
      <w:r>
        <w:t xml:space="preserve">1.1 Ausgangsbeobachtung</w:t>
      </w:r>
    </w:p>
    <w:p>
      <w:pPr>
        <w:spacing w:after="120" w:line="300"/>
      </w:pPr>
      <w:r>
        <w:t xml:space="preserve">Der wirtschaftliche Erfolg von Junior-Mining-Unternehmen wird in der Branche übereinstimmend als hochgradig personenabhängig beschrieben. Industrieexperten wie Rick Rule (Sprott), Brent Cook (Exploration Insights) und Eric Coffin (HRA Advisories) formulieren diese Beobachtung als heuristische Faustregel: „Bet on the jockey, not the horse." Die Erfahrung zeigt, dass eine vergleichsweise kleine Gruppe von Personen — Geologen, CEOs, Cornerstone-Investoren — über ihre Karriere hinweg an einer überproportional hohen Zahl erfolgreicher Discoveries und Übernahmen beteiligt ist, während die große Mehrheit der ca. 250.000–300.000 in der Branche tätigen Personen niemals an einer Mine beteiligt ist.</w:t>
      </w:r>
    </w:p>
    <w:p>
      <w:pPr>
        <w:pStyle w:val="Heading2"/>
        <w:spacing w:after="160" w:before="280"/>
      </w:pPr>
      <w:r>
        <w:t xml:space="preserve">1.2 Forschungslücke</w:t>
      </w:r>
    </w:p>
    <w:p>
      <w:pPr>
        <w:spacing w:after="120" w:line="300"/>
      </w:pPr>
      <w:r>
        <w:t xml:space="preserve">Trotz dieser breiten qualitativen Übereinstimmung ist die Hypothese bisher nicht systematisch quantitativ untersucht worden. Existierende Datenbanken (S&amp;P Global Capital IQ Metals &amp; Mining, TNM Marco Polo, Mining Data Online, Opaxe) erfassen Unternehmen, Projekte und Personal — aber keine verknüpft Personen über mehrere Unternehmungen hinweg zu einem auswertbaren Karrierebogen. BoardEx tut dies branchenübergreifend, hat aber im Junior-Mining-Segment (insbesondere TSX-V und AIM) eine schwache Coverage. Eine peer-reviewed Studie, die Personal-Track-Record als Erfolgsprädiktor quantifiziert, scheint nicht zu existieren.</w:t>
      </w:r>
    </w:p>
    <w:p>
      <w:pPr>
        <w:pStyle w:val="Heading2"/>
        <w:spacing w:after="160" w:before="280"/>
      </w:pPr>
      <w:r>
        <w:t xml:space="preserve">1.3 Zielsetzung des Projekts</w:t>
      </w:r>
    </w:p>
    <w:p>
      <w:pPr>
        <w:spacing w:after="120" w:line="300"/>
      </w:pPr>
      <w:r>
        <w:t xml:space="preserve">Das Projekt verfolgt drei konkrete Ziele:</w:t>
      </w:r>
    </w:p>
    <w:p>
      <w:pPr>
        <w:pStyle w:val="ListParagraph"/>
        <w:numPr>
          <w:ilvl w:val="0"/>
          <w:numId w:val="2"/>
        </w:numPr>
        <w:spacing w:after="80" w:line="300"/>
      </w:pPr>
      <w:r>
        <w:t xml:space="preserve">Aufbau einer strukturierten Datenbank, die erfolgreiche Junior-Mining-Unternehmen der letzten 20 Jahre (2006–2026) identifiziert und das daran beteiligte Schlüsselpersonal erfasst.</w:t>
      </w:r>
    </w:p>
    <w:p>
      <w:pPr>
        <w:pStyle w:val="ListParagraph"/>
        <w:numPr>
          <w:ilvl w:val="0"/>
          <w:numId w:val="2"/>
        </w:numPr>
        <w:spacing w:after="80" w:line="300"/>
      </w:pPr>
      <w:r>
        <w:t xml:space="preserve">Verknüpfung von Personen über mehrere Unternehmungen hinweg zu auswertbaren Karrierebögen, inklusive Cornerstone-Investoren und Anker-Aktionären.</w:t>
      </w:r>
    </w:p>
    <w:p>
      <w:pPr>
        <w:pStyle w:val="ListParagraph"/>
        <w:numPr>
          <w:ilvl w:val="0"/>
          <w:numId w:val="2"/>
        </w:numPr>
        <w:spacing w:after="80" w:line="300"/>
      </w:pPr>
      <w:r>
        <w:t xml:space="preserve">Ableitung eines empirisch fundierten Scoring-Modells, das die Erfolgswahrscheinlichkeit neuer Junior-Mining-Unternehmen anhand der Track Records ihres Personals abschätzt.</w:t>
      </w:r>
    </w:p>
    <w:p>
      <w:pPr>
        <w:pStyle w:val="Heading2"/>
        <w:spacing w:after="160" w:before="280"/>
      </w:pPr>
      <w:r>
        <w:t xml:space="preserve">1.4 Forschungshypothese</w:t>
      </w:r>
    </w:p>
    <w:p>
      <w:pPr>
        <w:spacing w:after="120" w:line="300"/>
      </w:pPr>
      <w:r>
        <w:rPr>
          <w:b/>
          <w:bCs/>
        </w:rPr>
        <w:t xml:space="preserve">Hauptthese: </w:t>
      </w:r>
      <w:r>
        <w:t xml:space="preserve">Junior-Mining-Unternehmen mit Schlüsselpersonal, das in der Vergangenheit an einer oder mehreren erfolgreichen Discoveries, Übernahmen oder Produktionsstarts beteiligt war, weisen eine signifikant höhere Erfolgswahrscheinlichkeit auf als Unternehmen ohne entsprechendes Personal.</w:t>
      </w:r>
    </w:p>
    <w:p>
      <w:pPr>
        <w:spacing w:after="120" w:line="300"/>
      </w:pPr>
      <w:r>
        <w:rPr>
          <w:b/>
          <w:bCs/>
        </w:rPr>
        <w:t xml:space="preserve">Sekundärthesen: </w:t>
      </w:r>
      <w:r>
        <w:t xml:space="preserve">(a) Der Effekt ist task-relevant — Erfolge in derselben Rohstoffklasse und geologischen Provinz wiegen schwerer als rohstoffferne Erfolge. (b) Die Rolle der Person ist relevant — operative Schlüsselrollen (CEO, VP Exploration, Chief Geologist) korrelieren stärker mit Erfolg als reine Board-Mitgliedschaft. (c) Cornerstone-Investoren mit ausgewiesenem Erfolgs-Track-Record (Sprott, Friedland-Familie, Lundin-Gruppe, Pierre Lassonde u. a.) wirken als unabhängiger Erfolgsfaktor.</w:t>
      </w:r>
    </w:p>
    <w:p>
      <w:pPr>
        <w:spacing w:after="120" w:line="300"/>
      </w:pPr>
      <w:r>
        <w:rPr>
          <w:b/>
          <w:bCs/>
        </w:rPr>
        <w:t xml:space="preserve">Nicht-Monotonie-Hypothese (in v0.2 ergänzt): </w:t>
      </w:r>
      <w:r>
        <w:t xml:space="preserve">Der Zusammenhang zwischen Personal-Track-Record und Erfolgswahrscheinlichkeit ist möglicherweise nicht monoton. Es könnte einen optimalen Track-Record-Bereich geben (z. B. zwei bis vier vorherige Erfolge), jenseits dessen die marginale Erfolgs-Prädiktion abnimmt — weil „Star-Personen“ bereits in vom Markt höher bewerteten Companies sitzen, deren Upside eingepreist ist. Motivation: Die Crux-Investor-Validierungsanalyse 2025 zeigte ein analoges Phänomen auf Unternehmensebene (Score-8-Companies performen besser als Score-9-Companies). Diese Hypothese wird in Phase 2 explizit getestet.</w:t>
      </w:r>
    </w:p>
    <w:p>
      <w:r>
        <w:br w:type="page"/>
      </w:r>
    </w:p>
    <w:p>
      <w:pPr>
        <w:pStyle w:val="Heading1"/>
        <w:spacing w:after="200" w:before="360"/>
      </w:pPr>
      <w:r>
        <w:t xml:space="preserve">2. Scope</w:t>
      </w:r>
    </w:p>
    <w:p>
      <w:pPr>
        <w:spacing w:after="120" w:line="300"/>
      </w:pPr>
      <w:r>
        <w:t xml:space="preserve">Der Scope wurde in einer Vorabklärung gemeinsam definiert. Er ist bewusst ambitioniert gehalten, wird aber in der Pilotphase eng eingegrenzt, um methodische Sauberkeit zu gewährleisten.</w:t>
      </w:r>
    </w:p>
    <w:p>
      <w:pPr>
        <w:pStyle w:val="Heading2"/>
        <w:spacing w:after="160" w:before="280"/>
      </w:pPr>
      <w:r>
        <w:t xml:space="preserve">2.1 Geografie / Börsen</w:t>
      </w:r>
    </w:p>
    <w:p>
      <w:pPr>
        <w:spacing w:after="120" w:line="300"/>
      </w:pPr>
      <w:r>
        <w:t xml:space="preserve">Globale Abdeckung der vier wichtigsten Junior-Mining-Börsenplätze:</w:t>
      </w:r>
    </w:p>
    <w:p>
      <w:pPr>
        <w:pStyle w:val="ListParagraph"/>
        <w:numPr>
          <w:ilvl w:val="0"/>
          <w:numId w:val="3"/>
        </w:numPr>
        <w:spacing w:after="80" w:line="300"/>
      </w:pPr>
      <w:r>
        <w:t xml:space="preserve">Kanada — TSX und TSX-V (Toronto Stock Exchange Venture). Größter Junior-Mining-Markt weltweit, ca. 50% der globalen Explorationsfinanzierung.</w:t>
      </w:r>
    </w:p>
    <w:p>
      <w:pPr>
        <w:pStyle w:val="ListParagraph"/>
        <w:numPr>
          <w:ilvl w:val="0"/>
          <w:numId w:val="3"/>
        </w:numPr>
        <w:spacing w:after="80" w:line="300"/>
      </w:pPr>
      <w:r>
        <w:t xml:space="preserve">Australien — ASX (Australian Securities Exchange). Zweitgrößter Markt, starker Fokus auf Eisenerz, Gold, Battery Metals.</w:t>
      </w:r>
    </w:p>
    <w:p>
      <w:pPr>
        <w:pStyle w:val="ListParagraph"/>
        <w:numPr>
          <w:ilvl w:val="0"/>
          <w:numId w:val="3"/>
        </w:numPr>
        <w:spacing w:after="80" w:line="300"/>
      </w:pPr>
      <w:r>
        <w:t xml:space="preserve">Vereinigtes Königreich — AIM (Alternative Investment Market der LSE). Historisch wichtig für afrikanische und zentralasiatische Projekte.</w:t>
      </w:r>
    </w:p>
    <w:p>
      <w:pPr>
        <w:pStyle w:val="ListParagraph"/>
        <w:numPr>
          <w:ilvl w:val="0"/>
          <w:numId w:val="3"/>
        </w:numPr>
        <w:spacing w:after="80" w:line="300"/>
      </w:pPr>
      <w:r>
        <w:t xml:space="preserve">Südafrika — JSE (Johannesburg Stock Exchange). Bedeutsam für PGM und afrikanische Projekte.</w:t>
      </w:r>
    </w:p>
    <w:p>
      <w:pPr>
        <w:spacing w:after="120" w:line="300"/>
      </w:pPr>
      <w:r>
        <w:t xml:space="preserve">Hinweis: Der globale Scope ist bewusst gewählt, um die Hypothese mit ausreichender Stichprobe und ohne Selection-Bias testen zu können. Operativ wird die Pilotphase auf TSX/TSX-V beschränkt, danach iterativ erweitert (siehe Abschnitt 7 und 8).</w:t>
      </w:r>
    </w:p>
    <w:p>
      <w:pPr>
        <w:pStyle w:val="Heading2"/>
        <w:spacing w:after="160" w:before="280"/>
      </w:pPr>
      <w:r>
        <w:t xml:space="preserve">2.2 Rohstoffe</w:t>
      </w:r>
    </w:p>
    <w:p>
      <w:pPr>
        <w:spacing w:after="120" w:line="300"/>
      </w:pPr>
      <w:r>
        <w:rPr>
          <w:b/>
          <w:bCs/>
        </w:rPr>
        <w:t xml:space="preserve">Phase 1 (initial): </w:t>
      </w:r>
      <w:r>
        <w:t xml:space="preserve">Edelmetalle (Au, Ag, PGM) und Basismetalle (Cu, Zn, Ni, Pb). Beide Gruppen verfügen über ausreichend Stichprobengröße, klare Erfolgsmetriken (Unzen, Tonnen, Grade) und etablierte Ground-Truth-Listen (z. B. PDAC-Awards).</w:t>
      </w:r>
    </w:p>
    <w:p>
      <w:pPr>
        <w:spacing w:after="120" w:line="300"/>
      </w:pPr>
      <w:r>
        <w:rPr>
          <w:b/>
          <w:bCs/>
        </w:rPr>
        <w:t xml:space="preserve">Spätere Erweiterung: </w:t>
      </w:r>
      <w:r>
        <w:t xml:space="preserve">Critical / Battery Metals (Li, Co, REE, Uran). Diese unterliegen anderen Marktdynamiken (politisch getrieben, kürzere Historie) und werden bewusst erst in einer späteren Phase aufgenommen.</w:t>
      </w:r>
    </w:p>
    <w:p>
      <w:pPr>
        <w:pStyle w:val="Heading2"/>
        <w:spacing w:after="160" w:before="280"/>
      </w:pPr>
      <w:r>
        <w:t xml:space="preserve">2.3 Zeitraum</w:t>
      </w:r>
    </w:p>
    <w:p>
      <w:pPr>
        <w:spacing w:after="120" w:line="300"/>
      </w:pPr>
      <w:r>
        <w:t xml:space="preserve">Beobachtungsfenster: 2006–2026 (20 Jahre). Dieser Zeitraum umfasst zwei vollständige Rohstoffzyklen (China-Boom 2006–2011, Bärenmarkt 2012–2018, Erholung 2019–2026) und ermöglicht damit eine Robustheitsprüfung des Erfolgs-Scores über unterschiedliche Marktphasen hinweg. Personen-Karrieren werden — soweit relevant — auch vor 2006 nachgezogen.</w:t>
      </w:r>
    </w:p>
    <w:p>
      <w:pPr>
        <w:pStyle w:val="Heading2"/>
        <w:spacing w:after="160" w:before="280"/>
      </w:pPr>
      <w:r>
        <w:t xml:space="preserve">2.4 Personenkreis</w:t>
      </w:r>
    </w:p>
    <w:p>
      <w:pPr>
        <w:spacing w:after="120" w:line="300"/>
      </w:pPr>
      <w:r>
        <w:t xml:space="preserve">Erfasst werden zwei Personengruppen:</w:t>
      </w:r>
    </w:p>
    <w:p>
      <w:pPr>
        <w:pStyle w:val="Heading3"/>
        <w:spacing w:after="120" w:before="200"/>
      </w:pPr>
      <w:r>
        <w:t xml:space="preserve">2.4.1 Operatives Schlüsselpersonal</w:t>
      </w:r>
    </w:p>
    <w:p>
      <w:pPr>
        <w:pStyle w:val="ListParagraph"/>
        <w:numPr>
          <w:ilvl w:val="0"/>
          <w:numId w:val="3"/>
        </w:numPr>
        <w:spacing w:after="80" w:line="300"/>
      </w:pPr>
      <w:r>
        <w:t xml:space="preserve">Chief Executive Officer (CEO)</w:t>
      </w:r>
    </w:p>
    <w:p>
      <w:pPr>
        <w:pStyle w:val="ListParagraph"/>
        <w:numPr>
          <w:ilvl w:val="0"/>
          <w:numId w:val="3"/>
        </w:numPr>
        <w:spacing w:after="80" w:line="300"/>
      </w:pPr>
      <w:r>
        <w:t xml:space="preserve">Chairman bzw. Executive Chairman</w:t>
      </w:r>
    </w:p>
    <w:p>
      <w:pPr>
        <w:pStyle w:val="ListParagraph"/>
        <w:numPr>
          <w:ilvl w:val="0"/>
          <w:numId w:val="3"/>
        </w:numPr>
        <w:spacing w:after="80" w:line="300"/>
      </w:pPr>
      <w:r>
        <w:t xml:space="preserve">VP Exploration / Chief Geologist (operative geologische Verantwortung)</w:t>
      </w:r>
    </w:p>
    <w:p>
      <w:pPr>
        <w:pStyle w:val="ListParagraph"/>
        <w:numPr>
          <w:ilvl w:val="0"/>
          <w:numId w:val="3"/>
        </w:numPr>
        <w:spacing w:after="80" w:line="300"/>
      </w:pPr>
      <w:r>
        <w:t xml:space="preserve">Chief Financial Officer (CFO)</w:t>
      </w:r>
    </w:p>
    <w:p>
      <w:pPr>
        <w:pStyle w:val="ListParagraph"/>
        <w:numPr>
          <w:ilvl w:val="0"/>
          <w:numId w:val="3"/>
        </w:numPr>
        <w:spacing w:after="80" w:line="300"/>
      </w:pPr>
      <w:r>
        <w:t xml:space="preserve">President (falls separat vom CEO)</w:t>
      </w:r>
    </w:p>
    <w:p>
      <w:pPr>
        <w:pStyle w:val="Heading3"/>
        <w:spacing w:after="120" w:before="200"/>
      </w:pPr>
      <w:r>
        <w:t xml:space="preserve">2.4.2 Cornerstone-Investoren / Anker-Aktionäre</w:t>
      </w:r>
    </w:p>
    <w:p>
      <w:pPr>
        <w:pStyle w:val="ListParagraph"/>
        <w:numPr>
          <w:ilvl w:val="0"/>
          <w:numId w:val="3"/>
        </w:numPr>
        <w:spacing w:after="80" w:line="300"/>
      </w:pPr>
      <w:r>
        <w:t xml:space="preserve">Namhafte Investoren, die mindestens 5 % Anteil halten oder als Lead in Private Placements auftreten</w:t>
      </w:r>
    </w:p>
    <w:p>
      <w:pPr>
        <w:pStyle w:val="ListParagraph"/>
        <w:numPr>
          <w:ilvl w:val="0"/>
          <w:numId w:val="3"/>
        </w:numPr>
        <w:spacing w:after="80" w:line="300"/>
      </w:pPr>
      <w:r>
        <w:t xml:space="preserve">Mining-spezifische Family Offices und Holdinggesellschaften (z. B. Lundin Family, Friedland Group, EMR Capital)</w:t>
      </w:r>
    </w:p>
    <w:p>
      <w:pPr>
        <w:pStyle w:val="ListParagraph"/>
        <w:numPr>
          <w:ilvl w:val="0"/>
          <w:numId w:val="3"/>
        </w:numPr>
        <w:spacing w:after="80" w:line="300"/>
      </w:pPr>
      <w:r>
        <w:t xml:space="preserve">Bekannte Strategic-Investor-Vehikel (Sprott, Newmont Ventures, Eric Sprott Personal Holdings)</w:t>
      </w:r>
    </w:p>
    <w:p>
      <w:pPr>
        <w:spacing w:after="120" w:line="300"/>
      </w:pPr>
      <w:r>
        <w:t xml:space="preserve">Non-Executive Directors ohne operative Rolle werden in Phase 1 bewusst ausgespart, da deren Einfluss empirisch schwer vom CEO/Chairman-Effekt zu trennen ist. Eine Aufnahme in Phase 3 ist optional.</w:t>
      </w:r>
    </w:p>
    <w:p>
      <w:r>
        <w:br w:type="page"/>
      </w:r>
    </w:p>
    <w:p>
      <w:pPr>
        <w:pStyle w:val="Heading1"/>
        <w:spacing w:after="200" w:before="360"/>
      </w:pPr>
      <w:r>
        <w:t xml:space="preserve">3. Erfolgsdefinition — Multi-Kriterien-Score</w:t>
      </w:r>
    </w:p>
    <w:p>
      <w:pPr>
        <w:spacing w:after="120" w:line="300"/>
      </w:pPr>
      <w:r>
        <w:t xml:space="preserve">„Erfolg" eines Junior-Mining-Unternehmens wird nicht als binäre Größe, sondern als Multi-Kriterien-Score operationalisiert. Diese Vorgehensweise wird in der einschlägigen Literatur (MinEx Consulting / Schodde, Coulombe &amp; Sleeper 2023, Frimpong et al. 2022) übereinstimmend empfohlen und in der ausgereiftesten kommerziellen Praxis (Crux Investor Index) bestätigt, da Einzelmetriken zu einseitigen Verzerrungen führen.</w:t>
      </w:r>
    </w:p>
    <w:p>
      <w:pPr>
        <w:spacing w:after="120" w:line="300"/>
      </w:pPr>
      <w:r>
        <w:rPr>
          <w:b/>
          <w:bCs/>
          <w:i/>
          <w:iCs/>
        </w:rPr>
        <w:t xml:space="preserve">Methodisch wichtige Änderung gegenüber v0.1: </w:t>
      </w:r>
      <w:r>
        <w:rPr>
          <w:i/>
          <w:iCs/>
        </w:rPr>
        <w:t xml:space="preserve">In der ersten Version dieses Konzeptpapiers wurde eine fixe Gewichtung der vier Erfolgsdimensionen vorgeschlagen (25/25/30/20). Diese Vorab-Festlegung war methodisch nicht haltbar — sie beruhte auf Plausibilitäts-Heuristik, nicht auf empirischer Evidenz. Auch in der relevanten Literatur und in der kommerziellen Praxis (Crux Investor) werden die internen Gewichte nicht öffentlich publiziert. In Version 0.2 wird daher auf eine Vorab-Gewichtung verzichtet; die Gewichte werden in Phase 2 empirisch kalibriert.</w:t>
      </w:r>
    </w:p>
    <w:p>
      <w:pPr>
        <w:pStyle w:val="Heading2"/>
        <w:spacing w:after="160" w:before="280"/>
      </w:pPr>
      <w:r>
        <w:t xml:space="preserve">3.1 Die vier Erfolgs-Dimensionen</w:t>
      </w:r>
    </w:p>
    <w:p>
      <w:pPr>
        <w:spacing w:after="120" w:line="300"/>
      </w:pPr>
      <w:r>
        <w:t xml:space="preserve">Vier Erfolgsdimensionen werden bewertet, zunächst ohne Vorab-Gewichtung: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Dimension</w:t>
            </w:r>
          </w:p>
        </w:tc>
        <w:tc>
          <w:tcPr>
            <w:tcW w:type="dxa" w:w="4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Operationalisierung</w:t>
            </w:r>
          </w:p>
        </w:tc>
        <w:tc>
          <w:tcPr>
            <w:tcW w:type="dxa" w:w="23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Datenquelle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Discovery-Event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Erste NI 43-101-konforme Mineralressource (Inferred oder besser) bzw. JORC-Resource. Belegt durch technischen Bericht.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SEDAR+ / ASX Filings / Northern Miner</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Reserve-Conversion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Übergang von Resource (M&amp;I) zu Proven &amp; Probable Reserve durch Feasibility Study (PFS/FS).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Technical Reports SEDAR+/ASX</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M&amp;A-Exit oder Produktionsstart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Übernahme zu Premium ≥30 % über 20-Tage-VWAP ODER kommerzieller Produktionsbeginn (&gt;90 Tage Output).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Annual Reports, Press Releases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Peak-Marktkapitalisierung / IPO-Multiple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Peak-MarketCap als Vielfaches der kumulierten Equity-Finanzierung. Maß für Wertschöpfung im Aktienmarkt.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Bloomberg / Refinitiv / S&amp;P CapIQ</w:t>
            </w:r>
          </w:p>
        </w:tc>
      </w:tr>
    </w:tbl>
    <w:p>
      <w:pPr>
        <w:pStyle w:val="Heading2"/>
        <w:spacing w:after="160" w:before="280"/>
      </w:pPr>
      <w:r>
        <w:t xml:space="preserve">3.2 Empirische Gewichtung statt Vorab-Festlegung</w:t>
      </w:r>
    </w:p>
    <w:p>
      <w:pPr>
        <w:spacing w:after="120" w:line="300"/>
      </w:pPr>
      <w:r>
        <w:t xml:space="preserve">Jede Dimension wird auf einer 0–100-Skala normalisiert. Anstelle einer aus dem Bauch festgelegten Gewichtung erfolgt die Aggregation in Phase 2 nach einem empirisch fundierten Verfahren:</w:t>
      </w:r>
    </w:p>
    <w:p>
      <w:pPr>
        <w:pStyle w:val="ListParagraph"/>
        <w:numPr>
          <w:ilvl w:val="0"/>
          <w:numId w:val="2"/>
        </w:numPr>
        <w:spacing w:after="80" w:line="300"/>
      </w:pPr>
      <w:r>
        <w:t xml:space="preserve">Die vier Dimensionen werden für jedes Pilot-Unternehmen einzeln erhoben und unnormalisiert in der Datenbank gespeichert.</w:t>
      </w:r>
    </w:p>
    <w:p>
      <w:pPr>
        <w:pStyle w:val="ListParagraph"/>
        <w:numPr>
          <w:ilvl w:val="0"/>
          <w:numId w:val="2"/>
        </w:numPr>
        <w:spacing w:after="80" w:line="300"/>
      </w:pPr>
      <w:r>
        <w:t xml:space="preserve">Eine binäre Erfolgs-Zielvariable (z. B. „M&amp;A-Exit ≥USD 300 Mio. ODER kommerzielle Produktion erreicht“) dient als Ankerpunkt.</w:t>
      </w:r>
    </w:p>
    <w:p>
      <w:pPr>
        <w:pStyle w:val="ListParagraph"/>
        <w:numPr>
          <w:ilvl w:val="0"/>
          <w:numId w:val="2"/>
        </w:numPr>
        <w:spacing w:after="80" w:line="300"/>
      </w:pPr>
      <w:r>
        <w:t xml:space="preserve">Über das Pilot-Sample (50 Unternehmen, je 25 Erfolg/Nicht-Erfolg) wird eine logistische Regression bzw. eine Hauptkomponentenanalyse (PCA) gerechnet, um die diskriminierenden Dimensionen zu identifizieren.</w:t>
      </w:r>
    </w:p>
    <w:p>
      <w:pPr>
        <w:pStyle w:val="ListParagraph"/>
        <w:numPr>
          <w:ilvl w:val="0"/>
          <w:numId w:val="2"/>
        </w:numPr>
        <w:spacing w:after="80" w:line="300"/>
      </w:pPr>
      <w:r>
        <w:t xml:space="preserve">Die resultierenden Gewichte werden mit Sensitivitätsanalysen (Bootstrap-Resampling) auf Robustheit geprüft, bevor sie im Konzeptpapier v0.3 fixiert werden.</w:t>
      </w:r>
    </w:p>
    <w:p>
      <w:pPr>
        <w:spacing w:after="120" w:line="300"/>
      </w:pPr>
      <w:r>
        <w:t xml:space="preserve">Diese Vorgehensweise spiegelt vermutlich auch die interne Praxis bei Crux Investor wider, deren publizierte Methodik die Gewichte ebenfalls nicht offenlegt — wahrscheinlich, weil sie iterativ aus den eigenen Coverage-Daten kalibriert werden.</w:t>
      </w:r>
    </w:p>
    <w:p>
      <w:pPr>
        <w:pStyle w:val="Heading2"/>
        <w:spacing w:after="160" w:before="280"/>
      </w:pPr>
      <w:r>
        <w:t xml:space="preserve">3.3 Abgrenzung zum Crux Investor Index</w:t>
      </w:r>
    </w:p>
    <w:p>
      <w:pPr>
        <w:spacing w:after="120" w:line="300"/>
      </w:pPr>
      <w:r>
        <w:t xml:space="preserve">Crux Investor publiziert seit Februar 2022 einen Multi-Kriterien-Score auf einer 0–10-Skala. Eine im Januar 2025 veröffentlichte Validierungsanalyse zeigt eine Korrelation zwischen Score und 1-/5-Jahres-Aktienrenditen. Die acht offen genannten Bewertungsdimensionen sind: Commodity Price Risk, Community Relations, Jurisdictional Risk, Geological Risk, Financial Demands, Technical Risk, Operational Risk und Management Track Record.</w:t>
      </w:r>
    </w:p>
    <w:p>
      <w:pPr>
        <w:spacing w:after="120" w:line="300"/>
      </w:pPr>
      <w:r>
        <w:t xml:space="preserve">Der entscheidende Unterschied zu unserem Projekt liegt in der Operationalisierung der Personal-Dimension. Crux misst „Management Track Record" als „delivery to plan, returns to shareholders, communicating execution to the market effectively" — also firmenintern und gegenwartsbezogen: Wie liefert dieses Team an dieser Firma aktuell? Unser Projekt zielt auf eine genuin andere Größe: personenbezogen und karrierebezogen. Wir fragen: Hat diese Person in der Vergangenheit über mehrere Unternehmungen Erfolge geliefert? Beide Größen sind theoretisch unabhängig und vermutlich komplementär — unser Score ist kein Ersatz für, sondern eine Ergänzung zu firmenzentrierten Bewertungen wie Crux.</w:t>
      </w:r>
    </w:p>
    <w:p>
      <w:pPr>
        <w:pStyle w:val="Heading2"/>
        <w:spacing w:after="160" w:before="280"/>
      </w:pPr>
      <w:r>
        <w:t xml:space="preserve">3.4 Stadiums-Sensitivität</w:t>
      </w:r>
    </w:p>
    <w:p>
      <w:pPr>
        <w:spacing w:after="120" w:line="300"/>
      </w:pPr>
      <w:r>
        <w:t xml:space="preserve">Die Score-Interpretation muss stadiums-sensitiv erfolgen. Ein Explorer mit Score 70 unterliegt anderen Risikoprofilen als ein Producer mit Score 70 — das gleiche Punkteniveau bedeutet im Explorationsstadium einen außergewöhnlich starken Personalkader, im Produktionsstadium hingegen Standard-Industrie. Aus diesem Grund werden in Auswertungen Companies immer nach dem höchsten erreichten Projektstadium stratifiziert (Grass-roots / Resource / PFS / FS / Production). Diese Stratifikation ist Teil des Datenmodells (siehe Abschnitt 4, Feld „stage" in der Project-Entität).</w:t>
      </w:r>
    </w:p>
    <w:p>
      <w:pPr>
        <w:pStyle w:val="Heading2"/>
        <w:spacing w:after="160" w:before="280"/>
      </w:pPr>
      <w:r>
        <w:t xml:space="preserve">3.5 Nicht-Monotonie als testbare Hypothese</w:t>
      </w:r>
    </w:p>
    <w:p>
      <w:pPr>
        <w:spacing w:after="120" w:line="300"/>
      </w:pPr>
      <w:r>
        <w:t xml:space="preserve">Die Crux-Validierungsanalyse von 2025 hat eine bemerkenswerte Anomalie dokumentiert: Companies mit Crux-Score 8 performen besser als Companies mit Score 9. Cruxs eigene Interpretation: Score-9-Companies sind bereits größer, etablierter und vom Markt eingepreist; Score-8-Companies sitzen im „Sweet Spot" zwischen Momentum und Stabilität.</w:t>
      </w:r>
    </w:p>
    <w:p>
      <w:pPr>
        <w:spacing w:after="120" w:line="300"/>
      </w:pPr>
      <w:r>
        <w:t xml:space="preserve">Diese Beobachtung motiviert eine sekundäre Hypothese, die in Phase 2 explizit getestet wird: Auch der Zusammenhang zwischen Personal-Track-Record und Erfolgswahrscheinlichkeit könnte nicht-monoton verlaufen. Es ist denkbar, dass Companies mit „Star-Personen“ (10+ vergangene Erfolge) bereits vom Markt höher bewertet sind und ihr Upside damit eingepreist ist — während Companies mit moderaten Track Records (2–4 vergangene Erfolge) das eigentliche risiko-adjustierte Outperformance-Potenzial bieten. Die Datenbank wird so strukturiert, dass diese Hypothese mit den vorhandenen Daten direkt überprüfbar ist.</w:t>
      </w:r>
    </w:p>
    <w:p>
      <w:pPr>
        <w:pStyle w:val="Heading2"/>
        <w:spacing w:after="160" w:before="280"/>
      </w:pPr>
      <w:r>
        <w:t xml:space="preserve">3.6 Survivorship-Bias-Korrektur</w:t>
      </w:r>
    </w:p>
    <w:p>
      <w:pPr>
        <w:spacing w:after="120" w:line="300"/>
      </w:pPr>
      <w:r>
        <w:t xml:space="preserve">Da delistete und insolvente Unternehmen aus öffentlichen Quellen häufig verschwinden, wird ein expliziter Negativ-Ankerdatensatz aufgebaut: Unternehmen, die zwischen 2006 und 2026 von Börsen genommen wurden (Cease-Trade-Orders TSX-V, ASX-Suspensions, AIM-Cancellations) ohne Übernahme zu Premium. Quelle: TSX-V Bulletin Archive, ASX Company Removals, archive.org-Snapshots von Firmenwebsites.</w:t>
      </w:r>
    </w:p>
    <w:p>
      <w:pPr>
        <w:spacing w:after="120" w:line="300"/>
      </w:pPr>
      <w:r>
        <w:t xml:space="preserve">Zusätzlich zur Erfassung erfolgloser Unternehmen wird in Phase 2 — folgend der Methodik von Brent Cook (Exploration Insights), der primär nach „Fatal Flaws" sucht — auch eine Liste serieller Verlust-Personen aufgebaut: natürliche Personen, die in mehreren erfolglosen Junior-Mining-Companies Schlüsselrollen innehatten. Erst durch diese symmetrische Erfassung wird die Track-Record-Hypothese sauber prüfbar.</w:t>
      </w:r>
    </w:p>
    <w:p>
      <w:r>
        <w:br w:type="page"/>
      </w:r>
    </w:p>
    <w:p>
      <w:pPr>
        <w:pStyle w:val="Heading1"/>
        <w:spacing w:after="200" w:before="360"/>
      </w:pPr>
      <w:r>
        <w:t xml:space="preserve">4. Datenmodell</w:t>
      </w:r>
    </w:p>
    <w:p>
      <w:pPr>
        <w:spacing w:after="120" w:line="300"/>
      </w:pPr>
      <w:r>
        <w:t xml:space="preserve">Das Datenmodell folgt einem relationalen Ansatz mit sechs Kernentitäten. Die Skizze ist bewusst pragmatisch gehalten und wird in Phase 2 verfeinert.</w:t>
      </w:r>
    </w:p>
    <w:p>
      <w:pPr>
        <w:pStyle w:val="Heading2"/>
        <w:spacing w:after="160" w:before="280"/>
      </w:pPr>
      <w:r>
        <w:t xml:space="preserve">4.1 Entitäten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Entität</w:t>
            </w:r>
          </w:p>
        </w:tc>
        <w:tc>
          <w:tcPr>
            <w:tcW w:type="dxa" w:w="3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Beschreibung</w:t>
            </w:r>
          </w:p>
        </w:tc>
        <w:tc>
          <w:tcPr>
            <w:tcW w:type="dxa" w:w="39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Schlüsselfelder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Company</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Ein an einer Börse gelistetes Junior-Mining-Unternehmen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company_id, name, primary_listing (TSX-V/ASX/AIM/JSE), ticker, ipo_date, delisting_date, primary_commodity, jurisdiction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Person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Natürliche Person mit Rolle in einem oder mehreren Unternehmen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person_id, full_name, name_variants[], canonical_id_uk_companies_house, birth_year (falls verfügbar), nationality, primary_expertise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Role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Verknüpfung Person ↔ Company mit Zeitfenster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role_id, person_id, company_id, role_type (CEO/Chairman/VP-Exp/CFO/Investor), start_date, end_date, role_weight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Project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Mineralisches Projekt eines Unternehmens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project_id, company_id, name, commodity, country, region, deposit_type, stage (Grass-roots/Resource/PFS/FS/Production)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Outcome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Erfolgs-Score eines Unternehmens (Snapshot pro Zeitpunkt, stratifiziert nach Stadium)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outcome_id, company_id, score_discovery, score_reserve, score_exit, score_marketcap, stage_at_snapshot, total_score (kalibriert in Phase 2), snapshot_date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Event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Wichtige Einzelereignisse mit Datum (Discovery, M&amp;A, Delisting, …)</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event_id, company_id, event_type, event_date, description, source_url</w:t>
            </w:r>
          </w:p>
        </w:tc>
      </w:tr>
    </w:tbl>
    <w:p>
      <w:pPr>
        <w:pStyle w:val="Heading2"/>
        <w:spacing w:after="160" w:before="280"/>
      </w:pPr>
      <w:r>
        <w:t xml:space="preserve">4.2 Besonderheiten</w:t>
      </w:r>
    </w:p>
    <w:p>
      <w:pPr>
        <w:spacing w:after="120" w:line="300"/>
      </w:pPr>
      <w:r>
        <w:rPr>
          <w:b/>
          <w:bCs/>
        </w:rPr>
        <w:t xml:space="preserve">Namens-Disambiguierung: </w:t>
      </w:r>
      <w:r>
        <w:t xml:space="preserve">Da es weltweit keine universelle Personen-ID gibt, wird ein Disambiguierungs-Layer aufgebaut, der Namensvarianten zusammenführt. Anker sind: (1) UK Companies House Director-IDs für alle Personen mit AIM-Berührung, (2) ASX-Director-Statements (eindeutig pro Person über Adresshistorie), (3) SEDI-Insider-IDs (Kanada). Verbleibende Personen werden manuell verifiziert.</w:t>
      </w:r>
    </w:p>
    <w:p>
      <w:pPr>
        <w:spacing w:after="120" w:line="300"/>
      </w:pPr>
      <w:r>
        <w:rPr>
          <w:b/>
          <w:bCs/>
        </w:rPr>
        <w:t xml:space="preserve">Rolle-Gewichtung: </w:t>
      </w:r>
      <w:r>
        <w:t xml:space="preserve">Nicht jede Rolle wiegt gleich. In Anlehnung an die in Abschnitt 3.2 beschriebene Methodik werden Rollen-Gewichte nicht vorab festgelegt, sondern in Phase 2 empirisch aus dem Pilot-Datensatz kalibriert. Eine initiale Plausibilitätsannahme (CEO und VP Exploration mit höchster Gewichtung, Chairman und Cornerstone-Investor mittel, CFO niedriger) wird als Sensitivitäts-Benchmark mitgeführt, ist aber kein Endwert.</w:t>
      </w:r>
    </w:p>
    <w:p>
      <w:r>
        <w:br w:type="page"/>
      </w:r>
    </w:p>
    <w:p>
      <w:pPr>
        <w:pStyle w:val="Heading1"/>
        <w:spacing w:after="200" w:before="360"/>
      </w:pPr>
      <w:r>
        <w:t xml:space="preserve">5. Datenquellen-Inventar</w:t>
      </w:r>
    </w:p>
    <w:p>
      <w:pPr>
        <w:spacing w:after="120" w:line="300"/>
      </w:pPr>
      <w:r>
        <w:t xml:space="preserve">Die folgende Tabelle listet die primären Datenquellen je Informationsbedarf. Frei zugängliche Quellen werden bevorzugt; kommerzielle Quellen werden in Phase 1 vermieden, in späteren Phasen optional ergänzt.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60"/>
        <w:gridCol w:w="20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Quelle</w:t>
            </w:r>
          </w:p>
        </w:tc>
        <w:tc>
          <w:tcPr>
            <w:tcW w:type="dxa" w:w="2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Typ</w:t>
            </w:r>
          </w:p>
        </w:tc>
        <w:tc>
          <w:tcPr>
            <w:tcW w:type="dxa" w:w="26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Inhalt</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Zugang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SEDAR+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(CA)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AIF, MD&amp;A, Technical Reports, Management Circulars für TSX/TSX-V</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 keine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SEDI</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(CA)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Insider-Trades, Director-IDs Kanada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ASX Announcements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(AU)</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App. 3X/3Y (Director Interests), Quarterly Reports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einfache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AIM / LSE RNS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(UK)</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Director/PDMR-Filings, Annual Reports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UK Companies House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 (UK)</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Director-IDs, Firmenhistorie, Officer-Filings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mit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JSE SENS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(ZA)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Stock Exchange News Service Südafrika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Awards Archive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Industrie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Thayer-Lindsley- und Bill-Dennis-Awards seit 1977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The Northern Miner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of the Year, Mining Person of the Year, Archiv &gt;100 Jahre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Paywall + TNM Archives (kommerziell)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Mining Journal (Aspermont)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Internationale Junior-Coverage, Personalbewegungen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Paywall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MINING.COM</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Aktuelle News, M&amp;A-Tracking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MinEx Consulting (Schodde)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Industrie-Research</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Discovery-Statistiken global, Unit-Discovery-Costs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Teilweise frei, teilweise kommerziell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Wayback Machine / archive.org</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Archiv</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Snapshots delisteter Firmenwebsites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bl>
    <w:p>
      <w:r>
        <w:br w:type="page"/>
      </w:r>
    </w:p>
    <w:p>
      <w:pPr>
        <w:pStyle w:val="Heading1"/>
        <w:spacing w:after="200" w:before="360"/>
      </w:pPr>
      <w:r>
        <w:t xml:space="preserve">6. Risiken und offene Fragen</w:t>
      </w:r>
    </w:p>
    <w:p>
      <w:pPr>
        <w:pStyle w:val="Heading2"/>
        <w:spacing w:after="160" w:before="280"/>
      </w:pPr>
      <w:r>
        <w:t xml:space="preserve">6.1 Methodische Risiken</w:t>
      </w:r>
    </w:p>
    <w:p>
      <w:pPr>
        <w:pStyle w:val="ListParagraph"/>
        <w:numPr>
          <w:ilvl w:val="0"/>
          <w:numId w:val="3"/>
        </w:numPr>
        <w:spacing w:after="80" w:line="300"/>
      </w:pPr>
      <w:r>
        <w:rPr>
          <w:b/>
          <w:bCs/>
        </w:rPr>
        <w:t xml:space="preserve">Survivorship Bias: </w:t>
      </w:r>
      <w:r>
        <w:t xml:space="preserve">Delistete Unternehmen verschwinden aus SEDAR+. Ohne expliziten Negativ-Ankerdatensatz wird der Track-Record-Effekt systematisch überschätzt. Mitigation: Cease-Trade-Bulletins, archive.org-Backfill (siehe Abschnitt 3.3).</w:t>
      </w:r>
    </w:p>
    <w:p>
      <w:pPr>
        <w:pStyle w:val="ListParagraph"/>
        <w:numPr>
          <w:ilvl w:val="0"/>
          <w:numId w:val="3"/>
        </w:numPr>
        <w:spacing w:after="80" w:line="300"/>
      </w:pPr>
      <w:r>
        <w:rPr>
          <w:b/>
          <w:bCs/>
        </w:rPr>
        <w:t xml:space="preserve">Reverse Causation: </w:t>
      </w:r>
      <w:r>
        <w:t xml:space="preserve">Erfolgreiche Personen ziehen auch erfolgreichere Projekte und mehr Kapital an. Daraus folgt Korrelation, aber nicht zwingend Kausalität. Mitigation: Kontrolle für Projekt-Qualität (deposit type, jurisdiction) und Kapital-Volumen in der Regressionsanalyse.</w:t>
      </w:r>
    </w:p>
    <w:p>
      <w:pPr>
        <w:pStyle w:val="ListParagraph"/>
        <w:numPr>
          <w:ilvl w:val="0"/>
          <w:numId w:val="3"/>
        </w:numPr>
        <w:spacing w:after="80" w:line="300"/>
      </w:pPr>
      <w:r>
        <w:rPr>
          <w:b/>
          <w:bCs/>
        </w:rPr>
        <w:t xml:space="preserve">Selection-Bias der Erfolgsdefinition: </w:t>
      </w:r>
      <w:r>
        <w:t xml:space="preserve">Wenn Discovery-Events dominieren, werden Personen mit „pre-discovery" Karrieren bevorzugt; wenn M&amp;A-Exits dominieren, werden Personen mit Aktienmarkt-Affinität bevorzugt. Multi-Kriterien-Score (Abschnitt 3) dämpft diesen Bias.</w:t>
      </w:r>
    </w:p>
    <w:p>
      <w:pPr>
        <w:pStyle w:val="ListParagraph"/>
        <w:numPr>
          <w:ilvl w:val="0"/>
          <w:numId w:val="3"/>
        </w:numPr>
        <w:spacing w:after="80" w:line="300"/>
      </w:pPr>
      <w:r>
        <w:rPr>
          <w:b/>
          <w:bCs/>
        </w:rPr>
        <w:t xml:space="preserve">Nicht-Monotonie / Inflection Point: </w:t>
      </w:r>
      <w:r>
        <w:t xml:space="preserve">Annahme, dass „mehr Track Record = höhere Erfolgswahrscheinlichkeit“ ist möglicherweise falsch. Crux Investors empirische Daten zeigen einen analogen nicht-monotonen Zusammenhang auf Unternehmensebene. Mitigation: explizite Hypothese in Phase 2 testen (siehe Abschnitt 3.5), Track-Record-Variable nicht nur linear, sondern auch in Quantilen modellieren.</w:t>
      </w:r>
    </w:p>
    <w:p>
      <w:pPr>
        <w:pStyle w:val="Heading2"/>
        <w:spacing w:after="160" w:before="280"/>
      </w:pPr>
      <w:r>
        <w:t xml:space="preserve">6.2 Technische Risiken</w:t>
      </w:r>
    </w:p>
    <w:p>
      <w:pPr>
        <w:pStyle w:val="ListParagraph"/>
        <w:numPr>
          <w:ilvl w:val="0"/>
          <w:numId w:val="3"/>
        </w:numPr>
        <w:spacing w:after="80" w:line="300"/>
      </w:pPr>
      <w:r>
        <w:rPr>
          <w:b/>
          <w:bCs/>
        </w:rPr>
        <w:t xml:space="preserve">Namens-Disambiguierung: </w:t>
      </w:r>
      <w:r>
        <w:t xml:space="preserve">Häufige Namen (John Smith, David Brown) und Mehrfach-Identitäten machen die Verknüpfung über Börsen hinweg fehleranfällig. Manuelle Verifikation ist in Phase 2 unverzichtbar.</w:t>
      </w:r>
    </w:p>
    <w:p>
      <w:pPr>
        <w:pStyle w:val="ListParagraph"/>
        <w:numPr>
          <w:ilvl w:val="0"/>
          <w:numId w:val="3"/>
        </w:numPr>
        <w:spacing w:after="80" w:line="300"/>
      </w:pPr>
      <w:r>
        <w:rPr>
          <w:b/>
          <w:bCs/>
        </w:rPr>
        <w:t xml:space="preserve">Datenextraktion aus PDF-Filings: </w:t>
      </w:r>
      <w:r>
        <w:t xml:space="preserve">TSX-V- und AIM-Filings sind häufig PDF-basiert mit variablem Layout. OCR und strukturiertes Parsing sind nötig, fehleranfällig. Mitigation: Strukturierte Anker-Felder (Appendix 3X bei ASX, SEDI bei TSX) als Primärdaten, PDF nur als Fallback.</w:t>
      </w:r>
    </w:p>
    <w:p>
      <w:pPr>
        <w:pStyle w:val="ListParagraph"/>
        <w:numPr>
          <w:ilvl w:val="0"/>
          <w:numId w:val="3"/>
        </w:numPr>
        <w:spacing w:after="80" w:line="300"/>
      </w:pPr>
      <w:r>
        <w:rPr>
          <w:b/>
          <w:bCs/>
        </w:rPr>
        <w:t xml:space="preserve">Cornerstone-Investoren-Tracking: </w:t>
      </w:r>
      <w:r>
        <w:t xml:space="preserve">Cornerstone-Beteiligungen tauchen oft nur in Private-Placement-Announcements auf, nicht in strukturierten Officer-Filings. Erfordert manuelle Recherche in der Fachpresse.</w:t>
      </w:r>
    </w:p>
    <w:p>
      <w:pPr>
        <w:pStyle w:val="Heading2"/>
        <w:spacing w:after="160" w:before="280"/>
      </w:pPr>
      <w:r>
        <w:t xml:space="preserve">6.3 Offene Fragen — zu klären vor Phase 2</w:t>
      </w:r>
    </w:p>
    <w:p>
      <w:pPr>
        <w:pStyle w:val="ListParagraph"/>
        <w:numPr>
          <w:ilvl w:val="0"/>
          <w:numId w:val="2"/>
        </w:numPr>
        <w:spacing w:after="80" w:line="300"/>
      </w:pPr>
      <w:r>
        <w:t xml:space="preserve">Wie wird „task-relevance" operationalisiert? (gleiches deposit type? gleicher Rohstoff? gleiche Jurisdiktion?)</w:t>
      </w:r>
    </w:p>
    <w:p>
      <w:pPr>
        <w:pStyle w:val="ListParagraph"/>
        <w:numPr>
          <w:ilvl w:val="0"/>
          <w:numId w:val="2"/>
        </w:numPr>
        <w:spacing w:after="80" w:line="300"/>
      </w:pPr>
      <w:r>
        <w:t xml:space="preserve">Welche Mindest-Stichprobengröße erlaubt belastbare statistische Aussagen pro Rohstoff-Klasse?</w:t>
      </w:r>
    </w:p>
    <w:p>
      <w:pPr>
        <w:pStyle w:val="ListParagraph"/>
        <w:numPr>
          <w:ilvl w:val="0"/>
          <w:numId w:val="2"/>
        </w:numPr>
        <w:spacing w:after="80" w:line="300"/>
      </w:pPr>
      <w:r>
        <w:t xml:space="preserve">Welche Software-Stack? (PostgreSQL? SQLite-Pilot? Cloud-DB? Open-Source-Frontend?)</w:t>
      </w:r>
    </w:p>
    <w:p>
      <w:pPr>
        <w:pStyle w:val="ListParagraph"/>
        <w:numPr>
          <w:ilvl w:val="0"/>
          <w:numId w:val="2"/>
        </w:numPr>
        <w:spacing w:after="80" w:line="300"/>
      </w:pPr>
      <w:r>
        <w:t xml:space="preserve">Wie wird die Datenbank aktuell gehalten? (manuelle Pflege? Scraping-Pipeline? Crowdsourcing?)</w:t>
      </w:r>
    </w:p>
    <w:p>
      <w:pPr>
        <w:pStyle w:val="ListParagraph"/>
        <w:numPr>
          <w:ilvl w:val="0"/>
          <w:numId w:val="2"/>
        </w:numPr>
        <w:spacing w:after="80" w:line="300"/>
      </w:pPr>
      <w:r>
        <w:t xml:space="preserve">Welche Datenschutzimplikationen ergeben sich aus dem Tracking natürlicher Personen über 20 Jahre? (GDPR-Relevanz)</w:t>
      </w:r>
    </w:p>
    <w:p>
      <w:r>
        <w:br w:type="page"/>
      </w:r>
    </w:p>
    <w:p>
      <w:pPr>
        <w:pStyle w:val="Heading1"/>
        <w:spacing w:after="200" w:before="360"/>
      </w:pPr>
      <w:r>
        <w:t xml:space="preserve">7. Pilot-Vorschlag</w:t>
      </w:r>
    </w:p>
    <w:p>
      <w:pPr>
        <w:spacing w:after="120" w:line="300"/>
      </w:pPr>
      <w:r>
        <w:t xml:space="preserve">Bevor das vollständige globale Datenmodell aufgebaut wird, empfiehlt sich eine eng abgegrenzte Pilotphase, um Datenmodell, Erfolgs-Score und Extraktionsmethodik zu validieren.</w:t>
      </w:r>
    </w:p>
    <w:p>
      <w:pPr>
        <w:pStyle w:val="Heading2"/>
        <w:spacing w:after="160" w:before="280"/>
      </w:pPr>
      <w:r>
        <w:t xml:space="preserve">7.1 Pilot-Scope</w:t>
      </w:r>
    </w:p>
    <w:p>
      <w:pPr>
        <w:pStyle w:val="ListParagraph"/>
        <w:numPr>
          <w:ilvl w:val="0"/>
          <w:numId w:val="3"/>
        </w:numPr>
        <w:spacing w:after="80" w:line="300"/>
      </w:pPr>
      <w:r>
        <w:t xml:space="preserve">Börse: TSX und TSX-V (Kanada) — beste Datenlage, größte Stichprobe</w:t>
      </w:r>
    </w:p>
    <w:p>
      <w:pPr>
        <w:pStyle w:val="ListParagraph"/>
        <w:numPr>
          <w:ilvl w:val="0"/>
          <w:numId w:val="3"/>
        </w:numPr>
        <w:spacing w:after="80" w:line="300"/>
      </w:pPr>
      <w:r>
        <w:t xml:space="preserve">Rohstoffe: Edelmetalle (Gold, Silber) — klarste Ground Truth durch PDAC-Awards</w:t>
      </w:r>
    </w:p>
    <w:p>
      <w:pPr>
        <w:pStyle w:val="ListParagraph"/>
        <w:numPr>
          <w:ilvl w:val="0"/>
          <w:numId w:val="3"/>
        </w:numPr>
        <w:spacing w:after="80" w:line="300"/>
      </w:pPr>
      <w:r>
        <w:t xml:space="preserve">Zeitraum: 2006–2020 (14 Jahre, lässt 5–6 Jahre für Outcomes nach 2020)</w:t>
      </w:r>
    </w:p>
    <w:p>
      <w:pPr>
        <w:pStyle w:val="ListParagraph"/>
        <w:numPr>
          <w:ilvl w:val="0"/>
          <w:numId w:val="3"/>
        </w:numPr>
        <w:spacing w:after="80" w:line="300"/>
      </w:pPr>
      <w:r>
        <w:t xml:space="preserve">Stichprobengröße: 25 erfolgreiche + 25 erfolglose Unternehmen (Matched Sample)</w:t>
      </w:r>
    </w:p>
    <w:p>
      <w:pPr>
        <w:pStyle w:val="Heading2"/>
        <w:spacing w:after="160" w:before="280"/>
      </w:pPr>
      <w:r>
        <w:t xml:space="preserve">7.2 Kandidaten für das Erfolgs-Sample (Vorauswahl)</w:t>
      </w:r>
    </w:p>
    <w:p>
      <w:pPr>
        <w:spacing w:after="120" w:line="300"/>
      </w:pPr>
      <w:r>
        <w:t xml:space="preserve">Folgende Unternehmen werden als Pilot-Kandidaten für „erfolgreiche" Juniors vorgeschlagen — alle hatten in den letzten 20 Jahren ein Discovery-Event, M&amp;A zu Premium oder Produktionsstart: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Unternehmen</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Rohstoff</w:t>
            </w:r>
          </w:p>
        </w:tc>
        <w:tc>
          <w:tcPr>
            <w:tcW w:type="dxa" w:w="21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Erfolgs-Typ</w:t>
            </w:r>
          </w:p>
        </w:tc>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Schlüsselperson(en)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Aurelian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(Kinross 2008, USD 1.2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Patrick Anderson, Keith Barron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Fronteer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(Newmont 2011, USD 2.3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O'Dea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Continental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(Zijin 2020, USD 1.0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Ari Sussman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Reservoir Minerals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Cu-Au</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(Nevsun 2016, USD 365 Mio.)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Simon Ingram, Tim Marsh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Lumina Copper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Kupfer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(First Quantum 2014)</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Ross Beaty (Lumina Group)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NovaGold (frühe Phase)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(Donlin), Spin-offs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Rick Van Nieuwenhuyse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Virginia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(Éléonore) &amp; M&amp;A (Goldcorp 2006)</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André Gaumond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Underworld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(Kinross 2010, White Gold)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Adrian Fleming, Shawn Ryan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Kaminak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(Goldcorp 2016, Coffee Gold)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Eira Thomas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Pretium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(Brucejack) + Produktion + M&amp;A (Newcrest 2022)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Robert Quartermain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Great Bear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(Dixie) + M&amp;A (Kinross 2021, USD 1.8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Chris Taylor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Probe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(Goldcorp 2015, Borden Lake)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David Palmer</w:t>
            </w:r>
          </w:p>
        </w:tc>
      </w:tr>
    </w:tbl>
    <w:p>
      <w:pPr>
        <w:spacing w:after="120" w:line="300"/>
      </w:pPr>
      <w:r>
        <w:t xml:space="preserve">Diese Liste wird in Phase 1 finalisiert und um 13 weitere Kandidaten ergänzt (Ziel: 25). Das Negativ-Sample (25 erfolglose) wird parallel über TSX-V Cease-Trade-Bulletins zusammengestellt.</w:t>
      </w:r>
    </w:p>
    <w:p>
      <w:pPr>
        <w:pStyle w:val="Heading2"/>
        <w:spacing w:after="160" w:before="280"/>
      </w:pPr>
      <w:r>
        <w:t xml:space="preserve">7.3 Pilot-Deliverables</w:t>
      </w:r>
    </w:p>
    <w:p>
      <w:pPr>
        <w:pStyle w:val="ListParagraph"/>
        <w:numPr>
          <w:ilvl w:val="0"/>
          <w:numId w:val="2"/>
        </w:numPr>
        <w:spacing w:after="80" w:line="300"/>
      </w:pPr>
      <w:r>
        <w:t xml:space="preserve">Manuell befüllte SQLite-Datenbank mit allen sechs Entitäten für die 50 Pilot-Unternehmen</w:t>
      </w:r>
    </w:p>
    <w:p>
      <w:pPr>
        <w:pStyle w:val="ListParagraph"/>
        <w:numPr>
          <w:ilvl w:val="0"/>
          <w:numId w:val="2"/>
        </w:numPr>
        <w:spacing w:after="80" w:line="300"/>
      </w:pPr>
      <w:r>
        <w:t xml:space="preserve">Vollständige Personalprofile für ca. 150–200 Personen (im Schnitt 3–4 Schlüsselpersonen pro Unternehmen)</w:t>
      </w:r>
    </w:p>
    <w:p>
      <w:pPr>
        <w:pStyle w:val="ListParagraph"/>
        <w:numPr>
          <w:ilvl w:val="0"/>
          <w:numId w:val="2"/>
        </w:numPr>
        <w:spacing w:after="80" w:line="300"/>
      </w:pPr>
      <w:r>
        <w:t xml:space="preserve">Erste Auswertung: Wie oft tauchen dieselben Personen im Erfolgs-Sample mehrfach auf vs. im Negativ-Sample?</w:t>
      </w:r>
    </w:p>
    <w:p>
      <w:pPr>
        <w:pStyle w:val="ListParagraph"/>
        <w:numPr>
          <w:ilvl w:val="0"/>
          <w:numId w:val="2"/>
        </w:numPr>
        <w:spacing w:after="80" w:line="300"/>
      </w:pPr>
      <w:r>
        <w:t xml:space="preserve">Empirische Kalibrierung der Score-Gewichte über logistische Regression auf binäre Erfolgs-Variable (siehe Abschnitt 3.2).</w:t>
      </w:r>
    </w:p>
    <w:p>
      <w:pPr>
        <w:pStyle w:val="ListParagraph"/>
        <w:numPr>
          <w:ilvl w:val="0"/>
          <w:numId w:val="2"/>
        </w:numPr>
        <w:spacing w:after="80" w:line="300"/>
      </w:pPr>
      <w:r>
        <w:t xml:space="preserve">Test der Nicht-Monotonie-Hypothese: Korreliert die Anzahl vorheriger Erfolge linear mit Erfolgswahrscheinlichkeit, oder existiert ein Inflection Point (siehe Abschnitt 3.5)?</w:t>
      </w:r>
    </w:p>
    <w:p>
      <w:pPr>
        <w:pStyle w:val="ListParagraph"/>
        <w:numPr>
          <w:ilvl w:val="0"/>
          <w:numId w:val="2"/>
        </w:numPr>
        <w:spacing w:after="80" w:line="300"/>
      </w:pPr>
      <w:r>
        <w:t xml:space="preserve">Validierungsbericht: Sind Erfolgs-Score, Gewichtung, Datenmodell und Disambiguierung tragfähig? Welche Anpassungen für Phase 3?</w:t>
      </w:r>
    </w:p>
    <w:p>
      <w:r>
        <w:br w:type="page"/>
      </w:r>
    </w:p>
    <w:p>
      <w:pPr>
        <w:pStyle w:val="Heading1"/>
        <w:spacing w:after="200" w:before="360"/>
      </w:pPr>
      <w:r>
        <w:t xml:space="preserve">8. Roadmap</w:t>
      </w:r>
    </w:p>
    <w:p>
      <w:pPr>
        <w:spacing w:after="120" w:line="300"/>
      </w:pPr>
      <w:r>
        <w:t xml:space="preserve">Vier Phasen, jede mit eigenem Entscheidungspunkt: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060"/>
        <w:gridCol w:w="200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Phase</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Dauer (Schätzung)</w:t>
            </w:r>
          </w:p>
        </w:tc>
        <w:tc>
          <w:tcPr>
            <w:tcW w:type="dxa" w:w="40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Inhalt</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Entscheidungspunkt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1–2 Wochen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Dieses Konzeptpapier finalisieren, Pilot-Sample (50 Companies) bestätigen, Software-Stack-Entscheidung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Freigabe Pilot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2–4 Wochen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Pilot-Datenbank aufbauen (manuell), Score-Gewichte über logistische Regression empirisch kalibrieren, Nicht-Monotonie- und Task-Relevance-Hypothesen testen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Validierung Datenmodell + Score</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3–6 Monate</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Skalierung auf TSX-V + ASX vollständig, automatisierte Filing-Extraktion, Personennamen-Disambiguierung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Statistische Power erreicht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4</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offen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Prognose-Modell, AIM + JSE Ergänzung, Critical Metals, ggf. Web-Frontend / Newsletter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Anwendungsentscheidung</w:t>
            </w:r>
          </w:p>
        </w:tc>
      </w:tr>
    </w:tbl>
    <w:p>
      <w:pPr>
        <w:pStyle w:val="Heading2"/>
        <w:spacing w:after="160" w:before="280"/>
      </w:pPr>
      <w:r>
        <w:t xml:space="preserve">8.1 Nächster Schritt</w:t>
      </w:r>
    </w:p>
    <w:p>
      <w:pPr>
        <w:spacing w:after="120" w:line="300"/>
      </w:pPr>
      <w:r>
        <w:t xml:space="preserve">Nach Freigabe dieses Konzeptpapiers beginnt Phase 2 mit dem Aufbau des Pilot-Datensatzes. Vor dem Start sind die fünf offenen Fragen aus Abschnitt 6.3 zu beantworten — insbesondere die Software-Stack-Entscheidung (Vorschlag: SQLite + Python für den Pilot, später Migration auf PostgreSQL).</w:t>
      </w:r>
    </w:p>
    <w:p>
      <w:r>
        <w:br w:type="page"/>
      </w:r>
    </w:p>
    <w:p>
      <w:pPr>
        <w:pStyle w:val="Heading1"/>
        <w:spacing w:after="200" w:before="360"/>
      </w:pPr>
      <w:r>
        <w:t xml:space="preserve">9. Quellen und Referenzen</w:t>
      </w:r>
    </w:p>
    <w:p>
      <w:pPr>
        <w:pStyle w:val="Heading2"/>
        <w:spacing w:after="160" w:before="280"/>
      </w:pPr>
      <w:r>
        <w:t xml:space="preserve">9.1 Wissenschaftliche Literatur</w:t>
      </w:r>
    </w:p>
    <w:p>
      <w:pPr>
        <w:pStyle w:val="ListParagraph"/>
        <w:numPr>
          <w:ilvl w:val="0"/>
          <w:numId w:val="3"/>
        </w:numPr>
        <w:spacing w:after="80" w:line="300"/>
      </w:pPr>
      <w:r>
        <w:t xml:space="preserve">Coulombe, A. &amp; Sleeper, J. (2023): Mineral asset impairments in junior mining companies. Resources Policy.</w:t>
      </w:r>
    </w:p>
    <w:p>
      <w:pPr>
        <w:pStyle w:val="ListParagraph"/>
        <w:numPr>
          <w:ilvl w:val="0"/>
          <w:numId w:val="3"/>
        </w:numPr>
        <w:spacing w:after="80" w:line="300"/>
      </w:pPr>
      <w:r>
        <w:t xml:space="preserve">Frimpong, S. et al. (2022): Confirming the Lassonde Curve. Resources Policy.</w:t>
      </w:r>
    </w:p>
    <w:p>
      <w:pPr>
        <w:pStyle w:val="ListParagraph"/>
        <w:numPr>
          <w:ilvl w:val="0"/>
          <w:numId w:val="3"/>
        </w:numPr>
        <w:spacing w:after="80" w:line="300"/>
      </w:pPr>
      <w:r>
        <w:t xml:space="preserve">Schodde, R. (MinEx Consulting): jährliche Reports zu Discovery-Performance und Exploration Effectiveness.</w:t>
      </w:r>
    </w:p>
    <w:p>
      <w:pPr>
        <w:pStyle w:val="Heading2"/>
        <w:spacing w:after="160" w:before="280"/>
      </w:pPr>
      <w:r>
        <w:t xml:space="preserve">9.2 Industrie-Quellen</w:t>
      </w:r>
    </w:p>
    <w:p>
      <w:pPr>
        <w:pStyle w:val="ListParagraph"/>
        <w:numPr>
          <w:ilvl w:val="0"/>
          <w:numId w:val="3"/>
        </w:numPr>
        <w:spacing w:after="80" w:line="300"/>
      </w:pPr>
      <w:r>
        <w:t xml:space="preserve">PDAC Awards Archive — pdac.ca/about-pdac/awards/previous-awards-recipients</w:t>
      </w:r>
    </w:p>
    <w:p>
      <w:pPr>
        <w:pStyle w:val="ListParagraph"/>
        <w:numPr>
          <w:ilvl w:val="0"/>
          <w:numId w:val="3"/>
        </w:numPr>
        <w:spacing w:after="80" w:line="300"/>
      </w:pPr>
      <w:r>
        <w:t xml:space="preserve">The Northern Miner / TNM Archives — northernminer.com</w:t>
      </w:r>
    </w:p>
    <w:p>
      <w:pPr>
        <w:pStyle w:val="ListParagraph"/>
        <w:numPr>
          <w:ilvl w:val="0"/>
          <w:numId w:val="3"/>
        </w:numPr>
        <w:spacing w:after="80" w:line="300"/>
      </w:pPr>
      <w:r>
        <w:t xml:space="preserve">Mining Journal (Aspermont) — mining-journal.com</w:t>
      </w:r>
    </w:p>
    <w:p>
      <w:pPr>
        <w:pStyle w:val="ListParagraph"/>
        <w:numPr>
          <w:ilvl w:val="0"/>
          <w:numId w:val="3"/>
        </w:numPr>
        <w:spacing w:after="80" w:line="300"/>
      </w:pPr>
      <w:r>
        <w:t xml:space="preserve">Rick Rule, Brent Cook, Eric Coffin, Joe Mazumdar — diverse Newsletter und Interviews</w:t>
      </w:r>
    </w:p>
    <w:p>
      <w:pPr>
        <w:pStyle w:val="ListParagraph"/>
        <w:numPr>
          <w:ilvl w:val="0"/>
          <w:numId w:val="3"/>
        </w:numPr>
        <w:spacing w:after="80" w:line="300"/>
      </w:pPr>
      <w:r>
        <w:t xml:space="preserve">Crux Investor: „What is the Crux Investor Index?“ — cruxinvestor.com/pages/what-is-a-crux-score</w:t>
      </w:r>
    </w:p>
    <w:p>
      <w:pPr>
        <w:pStyle w:val="ListParagraph"/>
        <w:numPr>
          <w:ilvl w:val="0"/>
          <w:numId w:val="3"/>
        </w:numPr>
        <w:spacing w:after="80" w:line="300"/>
      </w:pPr>
      <w:r>
        <w:t xml:space="preserve">Crux Investor: Validierungsanalyse Jan 2025 „Do Higher-Rated Miners Deliver Bigger Returns?“ — cruxinvestor.com/posts/your-guide-to-the-crux-investor-index-do-higher-rated-miners-deliver-bigger-returns</w:t>
      </w:r>
    </w:p>
    <w:p>
      <w:pPr>
        <w:pStyle w:val="ListParagraph"/>
        <w:numPr>
          <w:ilvl w:val="0"/>
          <w:numId w:val="3"/>
        </w:numPr>
        <w:spacing w:after="80" w:line="300"/>
      </w:pPr>
      <w:r>
        <w:t xml:space="preserve">Jacques Bonneau (2025): „The Art of Investing in Junior Mining“ — Primärquelle für Methodik-Kapitel, derzeit nicht digital verfügbar, ausstehend</w:t>
      </w:r>
    </w:p>
    <w:p>
      <w:pPr>
        <w:pStyle w:val="ListParagraph"/>
        <w:numPr>
          <w:ilvl w:val="0"/>
          <w:numId w:val="3"/>
        </w:numPr>
        <w:spacing w:after="80" w:line="300"/>
      </w:pPr>
      <w:r>
        <w:t xml:space="preserve">David Lowell — „Nine Rules for Exploration Success“ (publiziert auf mining.com)</w:t>
      </w:r>
    </w:p>
    <w:p>
      <w:pPr>
        <w:pStyle w:val="Heading2"/>
        <w:spacing w:after="160" w:before="280"/>
      </w:pPr>
      <w:r>
        <w:t xml:space="preserve">9.3 Datenquellen</w:t>
      </w:r>
    </w:p>
    <w:p>
      <w:pPr>
        <w:pStyle w:val="ListParagraph"/>
        <w:numPr>
          <w:ilvl w:val="0"/>
          <w:numId w:val="3"/>
        </w:numPr>
        <w:spacing w:after="80" w:line="300"/>
      </w:pPr>
      <w:r>
        <w:t xml:space="preserve">SEDAR+ — sedarplus.ca</w:t>
      </w:r>
    </w:p>
    <w:p>
      <w:pPr>
        <w:pStyle w:val="ListParagraph"/>
        <w:numPr>
          <w:ilvl w:val="0"/>
          <w:numId w:val="3"/>
        </w:numPr>
        <w:spacing w:after="80" w:line="300"/>
      </w:pPr>
      <w:r>
        <w:t xml:space="preserve">SEDI — sedi.ca</w:t>
      </w:r>
    </w:p>
    <w:p>
      <w:pPr>
        <w:pStyle w:val="ListParagraph"/>
        <w:numPr>
          <w:ilvl w:val="0"/>
          <w:numId w:val="3"/>
        </w:numPr>
        <w:spacing w:after="80" w:line="300"/>
      </w:pPr>
      <w:r>
        <w:t xml:space="preserve">ASX — asx.com.au</w:t>
      </w:r>
    </w:p>
    <w:p>
      <w:pPr>
        <w:pStyle w:val="ListParagraph"/>
        <w:numPr>
          <w:ilvl w:val="0"/>
          <w:numId w:val="3"/>
        </w:numPr>
        <w:spacing w:after="80" w:line="300"/>
      </w:pPr>
      <w:r>
        <w:t xml:space="preserve">LSE / AIM — londonstockexchange.com</w:t>
      </w:r>
    </w:p>
    <w:p>
      <w:pPr>
        <w:pStyle w:val="ListParagraph"/>
        <w:numPr>
          <w:ilvl w:val="0"/>
          <w:numId w:val="3"/>
        </w:numPr>
        <w:spacing w:after="80" w:line="300"/>
      </w:pPr>
      <w:r>
        <w:t xml:space="preserve">UK Companies House — find-and-update.company-information.service.gov.uk</w:t>
      </w:r>
    </w:p>
    <w:p>
      <w:pPr>
        <w:pStyle w:val="ListParagraph"/>
        <w:numPr>
          <w:ilvl w:val="0"/>
          <w:numId w:val="3"/>
        </w:numPr>
        <w:spacing w:after="80" w:line="300"/>
      </w:pPr>
      <w:r>
        <w:t xml:space="preserve">JSE SENS — jse.co.za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Version 0.2 — 14. Mai 2026</w:t>
    </w:r>
    <w:r>
      <w:rPr>
        <w:sz w:val="18"/>
        <w:szCs w:val="18"/>
      </w:rPr>
      <w:t xml:space="preserve">	</w:t>
    </w:r>
    <w:r>
      <w:rPr>
        <w:color w:val="808080"/>
        <w:sz w:val="18"/>
        <w:szCs w:val="18"/>
      </w:rPr>
      <w:t xml:space="preserve">Seite </w:t>
    </w:r>
    <w:r>
      <w:rPr>
        <w:color w:val="808080"/>
        <w:sz w:val="18"/>
        <w:szCs w:val="18"/>
      </w:rPr>
      <w:fldChar w:fldCharType="begin"/>
      <w:instrText xml:space="preserve">PAGE</w:instrText>
      <w:fldChar w:fldCharType="separate"/>
      <w:fldChar w:fldCharType="end"/>
    </w:r>
    <w:r>
      <w:rPr>
        <w:color w:val="808080"/>
        <w:sz w:val="18"/>
        <w:szCs w:val="18"/>
      </w:rPr>
      <w:t xml:space="preserve"> von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Konzeptpapier — Junior-Mining Erfolgs-Datenbank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 — Junior-Mining Erfolgs-Datenbank</dc:title>
  <dc:creator>Lew (mit Unterstützung von Claude)</dc:creator>
  <dc:description>Personal-Track-Record als Prädiktor für unternehmerischen Erfolg</dc:description>
  <cp:lastModifiedBy>Un-named</cp:lastModifiedBy>
  <cp:revision>1</cp:revision>
  <dcterms:created xsi:type="dcterms:W3CDTF">2026-05-14T13:33:35.111Z</dcterms:created>
  <dcterms:modified xsi:type="dcterms:W3CDTF">2026-05-14T13:33:35.111Z</dcterms:modified>
</cp:coreProperties>
</file>

<file path=docProps/custom.xml><?xml version="1.0" encoding="utf-8"?>
<Properties xmlns="http://schemas.openxmlformats.org/officeDocument/2006/custom-properties" xmlns:vt="http://schemas.openxmlformats.org/officeDocument/2006/docPropsVTypes"/>
</file>