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Workflow Junior-Mining-Erfolgs-Datenbank</w:t>
      </w:r>
    </w:p>
    <w:p>
      <w:pPr>
        <w:spacing w:after="240"/>
      </w:pPr>
      <w:r>
        <w:rPr>
          <w:i/>
          <w:iCs/>
          <w:sz w:val="24"/>
          <w:szCs w:val="24"/>
        </w:rPr>
        <w:t xml:space="preserve">Version 0.2 — Stand 2026-05-15</w:t>
      </w:r>
    </w:p>
    <w:p>
      <w:pPr>
        <w:spacing w:after="120"/>
      </w:pPr>
      <w:r>
        <w:t xml:space="preserve">Operative Anleitung zur Datenerfassung in der Junior-Mining-Erfolgs-Datenbank. Ergaenzt das Konzeptpapier v0.4 (Theorie, Hypothesen, Sample-Definition) durch konkrete Arbeitsregeln fuer Phase 2.</w:t>
      </w:r>
    </w:p>
    <w:p>
      <w:pPr>
        <w:spacing w:after="60"/>
      </w:pPr>
      <w:r>
        <w:rPr>
          <w:b/>
          <w:bCs/>
        </w:rPr>
        <w:t xml:space="preserve">Wesentliche Aenderungen ggue. v0.1: </w:t>
      </w:r>
    </w:p>
    <w:p>
      <w:pPr>
        <w:pStyle w:val="ListParagraph"/>
        <w:numPr>
          <w:ilvl w:val="0"/>
          <w:numId w:val="2"/>
        </w:numPr>
        <w:spacing w:after="60"/>
      </w:pPr>
      <w:r>
        <w:t xml:space="preserve">Personen-Scope: 4. Kategorie 'Schluessel-Feldgeologen mit Discovery-Beitrag' aufgenommen (§3)</w:t>
      </w:r>
    </w:p>
    <w:p>
      <w:pPr>
        <w:pStyle w:val="ListParagraph"/>
        <w:numPr>
          <w:ilvl w:val="0"/>
          <w:numId w:val="2"/>
        </w:numPr>
        <w:spacing w:after="60"/>
      </w:pPr>
      <w:r>
        <w:t xml:space="preserve">Mehrfach-Rollen-Regel explizit (§3)</w:t>
      </w:r>
    </w:p>
    <w:p>
      <w:pPr>
        <w:pStyle w:val="ListParagraph"/>
        <w:numPr>
          <w:ilvl w:val="0"/>
          <w:numId w:val="2"/>
        </w:numPr>
        <w:spacing w:after="60"/>
      </w:pPr>
      <w:r>
        <w:t xml:space="preserve">Karriere-Historie via PR/AIF zur Disambiguierung; neues Feld person.bio_text (§4)</w:t>
      </w:r>
    </w:p>
    <w:p>
      <w:pPr>
        <w:pStyle w:val="ListParagraph"/>
        <w:numPr>
          <w:ilvl w:val="0"/>
          <w:numId w:val="2"/>
        </w:numPr>
        <w:spacing w:after="60"/>
      </w:pPr>
      <w:r>
        <w:t xml:space="preserve">VWAP-Konvention auf 20-Tage gesetzt (§7.3)</w:t>
      </w:r>
    </w:p>
    <w:p>
      <w:pPr>
        <w:pStyle w:val="ListParagraph"/>
        <w:numPr>
          <w:ilvl w:val="0"/>
          <w:numId w:val="2"/>
        </w:numPr>
        <w:spacing w:after="60"/>
      </w:pPr>
      <w:r>
        <w:t xml:space="preserve">Score-Gewichtung als Phase-3-Entscheidung dokumentiert (§7.5)</w:t>
      </w:r>
    </w:p>
    <w:p>
      <w:pPr>
        <w:pStyle w:val="ListParagraph"/>
        <w:numPr>
          <w:ilvl w:val="0"/>
          <w:numId w:val="2"/>
        </w:numPr>
        <w:spacing w:after="60"/>
      </w:pPr>
      <w:r>
        <w:t xml:space="preserve">Neuer §10 Projekt-Hierarchie (Konzession ↔ Deposit via parent_project_id)</w:t>
      </w:r>
    </w:p>
    <w:p>
      <w:pPr>
        <w:pStyle w:val="ListParagraph"/>
        <w:numPr>
          <w:ilvl w:val="0"/>
          <w:numId w:val="2"/>
        </w:numPr>
        <w:spacing w:after="60"/>
      </w:pPr>
      <w:r>
        <w:t xml:space="preserve">Neuer §11 Pipeline-Modus (Datenerfassung in Batches, Zweifelsfall-Definition)</w:t>
      </w:r>
    </w:p>
    <w:p>
      <w:pPr>
        <w:pStyle w:val="ListParagraph"/>
        <w:numPr>
          <w:ilvl w:val="0"/>
          <w:numId w:val="2"/>
        </w:numPr>
        <w:spacing w:after="60"/>
      </w:pPr>
      <w:r>
        <w:t xml:space="preserve">Erweiterte event-Vokabel: Exchange Upgrade neu; PDAC Award umbenannt zu Industry Award (§12)</w:t>
      </w:r>
    </w:p>
    <w:p>
      <w:pPr>
        <w:pStyle w:val="ListParagraph"/>
        <w:numPr>
          <w:ilvl w:val="0"/>
          <w:numId w:val="2"/>
        </w:numPr>
        <w:spacing w:after="60"/>
      </w:pPr>
      <w:r>
        <w:t xml:space="preserve">Schema-Migration v1.1 → v1.2 begleitet diese Workflow-Version</w:t>
      </w:r>
    </w:p>
    <w:p>
      <w:pPr>
        <w:pStyle w:val="Heading1"/>
        <w:spacing w:after="180" w:before="360"/>
      </w:pPr>
      <w:r>
        <w:rPr>
          <w:b/>
          <w:bCs/>
        </w:rPr>
        <w:t xml:space="preserve">1  Zweck und Geltungsbereich</w:t>
      </w:r>
    </w:p>
    <w:p>
      <w:pPr>
        <w:spacing w:after="120"/>
      </w:pPr>
      <w:r>
        <w:t xml:space="preserve">Dieses Dokument beschreibt operativ, wie Daten in die Junior-Mining-Erfolgs-Datenbank eingetragen werden. Es ersetzt nicht das Konzeptpapier, sondern uebersetzt dessen methodische Festlegungen in tagliche Arbeitspraxis.</w:t>
      </w:r>
    </w:p>
    <w:p>
      <w:pPr>
        <w:spacing w:after="120"/>
      </w:pPr>
      <w:r>
        <w:t xml:space="preserve">Geltungsbereich: Phase 2 (Pilot-Datenbank, TSX/TSX-V, Edelmetalle, 25 erfolgreiche + 25 erfolglose Companies, 2006–2026). Spaetere Phasen koennen Anpassungen erfordern; in diesem Fall wird eine neue Workflow-Version erstellt.</w:t>
      </w:r>
    </w:p>
    <w:p>
      <w:pPr>
        <w:spacing w:after="120"/>
      </w:pPr>
      <w:r>
        <w:t xml:space="preserve">Ab v0.2 wird ein Pipeline-Modus eingefuehrt (§11): Claude erfasst Daten in Batches und legt Lew nur Zweifelsfaelle zur Entscheidung vor. Adressat ist also nicht mehr primaer der/die Erfasser:in, sondern der/die Reviewer:in eines Batches.</w:t>
      </w:r>
    </w:p>
    <w:p>
      <w:pPr>
        <w:pStyle w:val="Heading1"/>
        <w:spacing w:after="180" w:before="360"/>
      </w:pPr>
      <w:r>
        <w:rPr>
          <w:b/>
          <w:bCs/>
        </w:rPr>
        <w:t xml:space="preserve">2  Quellenhierarchie</w:t>
      </w:r>
    </w:p>
    <w:p>
      <w:pPr>
        <w:spacing w:after="120"/>
      </w:pPr>
      <w:r>
        <w:t xml:space="preserve">Bei jeder Datenerhebung wird die folgende Hierarchie in absteigender Prioritaet durchgegangen. Eine Information aus einer hoeher gerankten Stufe schlaegt eine widersprechende Information aus einer niedrigeren Stufe, auch wenn die niedrigere Quelle leichter zugaenglich ist.</w:t>
      </w:r>
    </w:p>
    <w:p>
      <w:pPr>
        <w:pStyle w:val="Heading2"/>
        <w:spacing w:after="120" w:before="240"/>
      </w:pPr>
      <w:r>
        <w:rPr>
          <w:b/>
          <w:bCs/>
        </w:rPr>
        <w:t xml:space="preserve">2.1  Stufen</w:t>
      </w:r>
    </w:p>
    <w:p>
      <w:pPr>
        <w:pStyle w:val="ListParagraph"/>
        <w:numPr>
          <w:ilvl w:val="0"/>
          <w:numId w:val="3"/>
        </w:numPr>
        <w:spacing w:after="60"/>
      </w:pPr>
      <w:r>
        <w:t xml:space="preserve">Primaerquellen (regulatorisch): SEDAR+ / SEDI-Filings (AIF, MD&amp;A, Technical Reports nach NI 43-101), SEC EDGAR, ASX Announcements, AIM Regulatory News Service, JSE SENS.</w:t>
      </w:r>
    </w:p>
    <w:p>
      <w:pPr>
        <w:pStyle w:val="ListParagraph"/>
        <w:numPr>
          <w:ilvl w:val="0"/>
          <w:numId w:val="3"/>
        </w:numPr>
        <w:spacing w:after="60"/>
      </w:pPr>
      <w:r>
        <w:t xml:space="preserve">Primaerquellen (firmenseitig): Pressemitteilungen der Company, Investor Presentations, Annual Reports, Proxy Circulars.</w:t>
      </w:r>
    </w:p>
    <w:p>
      <w:pPr>
        <w:pStyle w:val="ListParagraph"/>
        <w:numPr>
          <w:ilvl w:val="0"/>
          <w:numId w:val="3"/>
        </w:numPr>
        <w:spacing w:after="60"/>
      </w:pPr>
      <w:r>
        <w:t xml:space="preserve">Sekundaerquellen (professionell kuratiert): The Northern Miner (Marco Polo Database), S&amp;P Capital IQ, Bloomberg, BoardEx.</w:t>
      </w:r>
    </w:p>
    <w:p>
      <w:pPr>
        <w:pStyle w:val="ListParagraph"/>
        <w:numPr>
          <w:ilvl w:val="0"/>
          <w:numId w:val="3"/>
        </w:numPr>
        <w:spacing w:after="60"/>
      </w:pPr>
      <w:r>
        <w:t xml:space="preserve">Tertiaerquellen (Industrie-Kommentar): Newsletter (Eric Coffin / HRA, Brent Cook / Exploration Insights, Rick Rule), Fachpresse, Buecher wie Bonneau (2025).</w:t>
      </w:r>
    </w:p>
    <w:p>
      <w:pPr>
        <w:pStyle w:val="ListParagraph"/>
        <w:numPr>
          <w:ilvl w:val="0"/>
          <w:numId w:val="3"/>
        </w:numPr>
        <w:spacing w:after="60"/>
      </w:pPr>
      <w:r>
        <w:t xml:space="preserve">Wikipedia und allgemeine Internetquellen — ausschliesslich als Hinweisgeber, nie als alleiniger Beleg.</w:t>
      </w:r>
    </w:p>
    <w:p>
      <w:pPr>
        <w:pStyle w:val="Heading2"/>
        <w:spacing w:after="120" w:before="240"/>
      </w:pPr>
      <w:r>
        <w:rPr>
          <w:b/>
          <w:bCs/>
        </w:rPr>
        <w:t xml:space="preserve">2.2  Regel</w:t>
      </w:r>
    </w:p>
    <w:p>
      <w:pPr>
        <w:spacing w:after="120"/>
      </w:pPr>
      <w:r>
        <w:t xml:space="preserve">Sofern eine Information aus Stufe 1–2 verfuegbar ist, wird sie immer der Information aus Stufe 3–5 vorgezogen — selbst dann, wenn die Beschaffung zeitaufwaendiger ist. Konzeptpapier v0.4, Abschnitt 6 begruendet diese Strenge.</w:t>
      </w:r>
    </w:p>
    <w:p>
      <w:pPr>
        <w:pStyle w:val="Heading1"/>
        <w:spacing w:after="180" w:before="360"/>
      </w:pPr>
      <w:r>
        <w:rPr>
          <w:b/>
          <w:bCs/>
        </w:rPr>
        <w:t xml:space="preserve">3  Eingabe-Reihenfolge der Tabellen</w:t>
      </w:r>
    </w:p>
    <w:p>
      <w:pPr>
        <w:spacing w:after="120"/>
      </w:pPr>
      <w:r>
        <w:t xml:space="preserve">Die Reihenfolge folgt den Foreign-Key-Abhaengigkeiten des Schemas (sql/260514 SQL-Schema Junior-Mining-DB v1.sql, ab 2026-05-15 in Version v1.2).</w:t>
      </w:r>
    </w:p>
    <w:p>
      <w:pPr>
        <w:pStyle w:val="ListParagraph"/>
        <w:numPr>
          <w:ilvl w:val="0"/>
          <w:numId w:val="3"/>
        </w:numPr>
        <w:spacing w:after="60"/>
      </w:pPr>
      <w:r>
        <w:t xml:space="preserve">company — Stammdaten (Name, ISIN, Stock Exchange, Listing-/Delisting-Jahr, Rohstoffe).</w:t>
      </w:r>
    </w:p>
    <w:p>
      <w:pPr>
        <w:pStyle w:val="ListParagraph"/>
        <w:numPr>
          <w:ilvl w:val="0"/>
          <w:numId w:val="3"/>
        </w:numPr>
        <w:spacing w:after="60"/>
      </w:pPr>
      <w:r>
        <w:t xml:space="preserve">person — alle fuer diese Company relevanten Personen (Vorname, Nachname, biographische Eckdaten, bio_text).</w:t>
      </w:r>
    </w:p>
    <w:p>
      <w:pPr>
        <w:pStyle w:val="ListParagraph"/>
        <w:numPr>
          <w:ilvl w:val="0"/>
          <w:numId w:val="3"/>
        </w:numPr>
        <w:spacing w:after="60"/>
      </w:pPr>
      <w:r>
        <w:t xml:space="preserve">role — Verknuepfung Person ↔ Company mit Rollentyp und Zeitraum.</w:t>
      </w:r>
    </w:p>
    <w:p>
      <w:pPr>
        <w:pStyle w:val="ListParagraph"/>
        <w:numPr>
          <w:ilvl w:val="0"/>
          <w:numId w:val="3"/>
        </w:numPr>
        <w:spacing w:after="60"/>
      </w:pPr>
      <w:r>
        <w:t xml:space="preserve">project — Mineralprojekte (Konzession und Deposit, siehe §10).</w:t>
      </w:r>
    </w:p>
    <w:p>
      <w:pPr>
        <w:pStyle w:val="ListParagraph"/>
        <w:numPr>
          <w:ilvl w:val="0"/>
          <w:numId w:val="3"/>
        </w:numPr>
        <w:spacing w:after="60"/>
      </w:pPr>
      <w:r>
        <w:t xml:space="preserve">outcome — Erfolgs-Score-Komponenten, Peak-MarketCap-Wert, Exit-Information.</w:t>
      </w:r>
    </w:p>
    <w:p>
      <w:pPr>
        <w:pStyle w:val="ListParagraph"/>
        <w:numPr>
          <w:ilvl w:val="0"/>
          <w:numId w:val="3"/>
        </w:numPr>
        <w:spacing w:after="60"/>
      </w:pPr>
      <w:r>
        <w:t xml:space="preserve">event — Meilensteine (siehe §12 fuer vollstaendige Vokabel).</w:t>
      </w:r>
    </w:p>
    <w:p>
      <w:pPr>
        <w:spacing w:after="120"/>
      </w:pPr>
      <w:r>
        <w:t xml:space="preserve">success_label in der company-Tabelle wird beim Anlegen auf 'pending' gesetzt und erst nach vollstaendiger Erfassung auf den Endwert geaendert.</w:t>
      </w:r>
    </w:p>
    <w:p>
      <w:pPr>
        <w:pStyle w:val="Heading2"/>
        <w:spacing w:after="120" w:before="240"/>
      </w:pPr>
      <w:r>
        <w:rPr>
          <w:b/>
          <w:bCs/>
        </w:rPr>
        <w:t xml:space="preserve">3.1  Personen-Scope</w:t>
      </w:r>
    </w:p>
    <w:p>
      <w:pPr>
        <w:spacing w:after="120"/>
      </w:pPr>
      <w:r>
        <w:t xml:space="preserve">Folgende Personenkategorien werden erfasst:</w:t>
      </w:r>
    </w:p>
    <w:p>
      <w:pPr>
        <w:pStyle w:val="ListParagraph"/>
        <w:numPr>
          <w:ilvl w:val="0"/>
          <w:numId w:val="2"/>
        </w:numPr>
        <w:spacing w:after="60"/>
      </w:pPr>
      <w:r>
        <w:t xml:space="preserve">C-Level (CEO, CFO, COO, President)</w:t>
      </w:r>
    </w:p>
    <w:p>
      <w:pPr>
        <w:pStyle w:val="ListParagraph"/>
        <w:numPr>
          <w:ilvl w:val="0"/>
          <w:numId w:val="2"/>
        </w:numPr>
        <w:spacing w:after="60"/>
      </w:pPr>
      <w:r>
        <w:t xml:space="preserve">Chairman des Boards</w:t>
      </w:r>
    </w:p>
    <w:p>
      <w:pPr>
        <w:pStyle w:val="ListParagraph"/>
        <w:numPr>
          <w:ilvl w:val="0"/>
          <w:numId w:val="2"/>
        </w:numPr>
        <w:spacing w:after="60"/>
      </w:pPr>
      <w:r>
        <w:t xml:space="preserve">VP Exploration / Chief Geologist</w:t>
      </w:r>
    </w:p>
    <w:p>
      <w:pPr>
        <w:pStyle w:val="ListParagraph"/>
        <w:numPr>
          <w:ilvl w:val="0"/>
          <w:numId w:val="2"/>
        </w:numPr>
        <w:spacing w:after="60"/>
      </w:pPr>
      <w:r>
        <w:t xml:space="preserve">Cornerstone-Investoren bzw. Anker-Aktionaere</w:t>
      </w:r>
    </w:p>
    <w:p>
      <w:pPr>
        <w:pStyle w:val="ListParagraph"/>
        <w:numPr>
          <w:ilvl w:val="0"/>
          <w:numId w:val="2"/>
        </w:numPr>
        <w:spacing w:after="60"/>
      </w:pPr>
      <w:r>
        <w:t xml:space="preserve">Founder (auch wenn nicht in C-Level)</w:t>
      </w:r>
    </w:p>
    <w:p>
      <w:pPr>
        <w:pStyle w:val="ListParagraph"/>
        <w:numPr>
          <w:ilvl w:val="0"/>
          <w:numId w:val="2"/>
        </w:numPr>
        <w:spacing w:after="60"/>
      </w:pPr>
      <w:r>
        <w:t xml:space="preserve">NEU in v0.2: Schluessel-Feldgeologen mit Discovery-Beitrag. Qualifikations-Kriterien: namentliche Nennung im NI 43-101 als 'discoverer' oder 'discovery geologist', oder als Erst-Autor des Technical Report bei Resource Estimate, oder als Preistraeger des PDAC Discovery Award. role_type fuer diese Kategorie ist 'Project Geologist'.</w:t>
      </w:r>
    </w:p>
    <w:p>
      <w:pPr>
        <w:spacing w:after="120"/>
      </w:pPr>
      <w:r>
        <w:t xml:space="preserve">Non-Executive Directors (ohne Cornerstone-Beteiligung) bleiben in Phase 2 ausgespart (Konzeptpapier v0.4 §3).</w:t>
      </w:r>
    </w:p>
    <w:p>
      <w:pPr>
        <w:pStyle w:val="Heading2"/>
        <w:spacing w:after="120" w:before="240"/>
      </w:pPr>
      <w:r>
        <w:rPr>
          <w:b/>
          <w:bCs/>
        </w:rPr>
        <w:t xml:space="preserve">3.2  Mehrfach-Rollen pro Person/Company</w:t>
      </w:r>
    </w:p>
    <w:p>
      <w:pPr>
        <w:spacing w:after="120"/>
      </w:pPr>
      <w:r>
        <w:t xml:space="preserve">Pro Person/Company-Kombination werden alle quellenfest belegten Rollen aus dem Workflow-Scope eingetragen. Mehrere Zeilen in der role-Tabelle sind erlaubt und erwuenscht, wo analytisch relevant. Beispiel Aurelian: Patrick Anderson wird als CEO und als Founder eingetragen, Keith Barron als Founder, VP Exploration und Cornerstone Investor.</w:t>
      </w:r>
    </w:p>
    <w:p>
      <w:pPr>
        <w:spacing w:after="120"/>
      </w:pPr>
      <w:r>
        <w:t xml:space="preserve">Begruendung: Die analytische Aussagekraft unterscheidet sich zwischen 'reiner Founder' und 'Operator-Founder', zwischen 'reiner Cornerstone-Investor' und 'Cornerstone-Investor mit technischer Funktion'. Mehrfach-Rollen erhalten diese Differenz im Datenmodell.</w:t>
      </w:r>
    </w:p>
    <w:p>
      <w:pPr>
        <w:pStyle w:val="Heading1"/>
        <w:spacing w:after="180" w:before="360"/>
      </w:pPr>
      <w:r>
        <w:rPr>
          <w:b/>
          <w:bCs/>
        </w:rPr>
        <w:t xml:space="preserve">4  Personen-Disambiguierung</w:t>
      </w:r>
    </w:p>
    <w:p>
      <w:pPr>
        <w:spacing w:after="120"/>
      </w:pPr>
      <w:r>
        <w:t xml:space="preserve">Personennamen sind die zentrale Fehlerquelle des Projekts. Falsch verknuepfte Karrieren entwerten die Auswertung. Folgende Regeln sind einzuhalten:</w:t>
      </w:r>
    </w:p>
    <w:p>
      <w:pPr>
        <w:pStyle w:val="ListParagraph"/>
        <w:numPr>
          <w:ilvl w:val="0"/>
          <w:numId w:val="2"/>
        </w:numPr>
        <w:spacing w:after="60"/>
      </w:pPr>
      <w:r>
        <w:t xml:space="preserve">Speicherung der Originalschreibweise aus der Primaerquelle (in der Regel die Filing-Signatur). Vorname und Nachname werden getrennt erfasst.</w:t>
      </w:r>
    </w:p>
    <w:p>
      <w:pPr>
        <w:pStyle w:val="ListParagraph"/>
        <w:numPr>
          <w:ilvl w:val="0"/>
          <w:numId w:val="2"/>
        </w:numPr>
        <w:spacing w:after="60"/>
      </w:pPr>
      <w:r>
        <w:t xml:space="preserve">Mittlere Initialen werden mitgespeichert, sofern in der Primaerquelle vorhanden (Spalte vorname enthaelt z. B. 'Mark R.').</w:t>
      </w:r>
    </w:p>
    <w:p>
      <w:pPr>
        <w:pStyle w:val="ListParagraph"/>
        <w:numPr>
          <w:ilvl w:val="0"/>
          <w:numId w:val="2"/>
        </w:numPr>
        <w:spacing w:after="60"/>
      </w:pPr>
      <w:r>
        <w:t xml:space="preserve">Bei identischen Namen werden die Disambiguierungs-Felder herangezogen: birth_year, education, country, bio_text, kontextuelle Hinweise aus Filings.</w:t>
      </w:r>
    </w:p>
    <w:p>
      <w:pPr>
        <w:pStyle w:val="ListParagraph"/>
        <w:numPr>
          <w:ilvl w:val="0"/>
          <w:numId w:val="2"/>
        </w:numPr>
        <w:spacing w:after="60"/>
      </w:pPr>
      <w:r>
        <w:t xml:space="preserve">Bei begruendeter Vermutung gleicher Person trotz abweichender Schreibweise (z. B. 'R. M. O'Dea' vs. 'Mark O'Dea'): Eintrag als eine Person; identifizierende Quelle in first_mention_source.</w:t>
      </w:r>
    </w:p>
    <w:p>
      <w:pPr>
        <w:pStyle w:val="ListParagraph"/>
        <w:numPr>
          <w:ilvl w:val="0"/>
          <w:numId w:val="2"/>
        </w:numPr>
        <w:spacing w:after="60"/>
      </w:pPr>
      <w:r>
        <w:t xml:space="preserve">Bei Restzweifel: zwei Eintraege anlegen und beide markieren (Hinweis im bio_text in eckigen Klammern, z. B. '[ggf. identisch mit Person ID 17]'). Spaetere Konsolidierung bleibt moeglich.</w:t>
      </w:r>
    </w:p>
    <w:p>
      <w:pPr>
        <w:pStyle w:val="Heading2"/>
        <w:spacing w:after="120" w:before="240"/>
      </w:pPr>
      <w:r>
        <w:rPr>
          <w:b/>
          <w:bCs/>
        </w:rPr>
        <w:t xml:space="preserve">4.1  Karriere-Historie aus PR und AIF als Disambiguierungs-Quelle (neu in v0.2)</w:t>
      </w:r>
    </w:p>
    <w:p>
      <w:pPr>
        <w:spacing w:after="120"/>
      </w:pPr>
      <w:r>
        <w:t xml:space="preserve">In der Bergbau-Branche enthalten Appointment-Pressemitteilungen und Annual Information Forms (SEDAR) fast immer eine Kurzbio mit zwei bis vier Vorgaengerposten. Beispieltext aus typischer PR: 'Mr. Smith brings 25 years of experience, most recently as VP Exploration at X Mining and Chief Geologist at Y Resources.' Diese Information wird ausgewertet.</w:t>
      </w:r>
    </w:p>
    <w:p>
      <w:pPr>
        <w:spacing w:after="120"/>
      </w:pPr>
      <w:r>
        <w:t xml:space="preserve">Operative Regel:</w:t>
      </w:r>
    </w:p>
    <w:p>
      <w:pPr>
        <w:pStyle w:val="ListParagraph"/>
        <w:numPr>
          <w:ilvl w:val="0"/>
          <w:numId w:val="2"/>
        </w:numPr>
        <w:spacing w:after="60"/>
      </w:pPr>
      <w:r>
        <w:t xml:space="preserve">Bei jeder neuen Person die Appointment-PR (oder AIF, falls verfuegbar) auf Vorgaengerposten scannen und die Liste in person.bio_text als Kurzbio speichern (max. 500 Zeichen).</w:t>
      </w:r>
    </w:p>
    <w:p>
      <w:pPr>
        <w:pStyle w:val="ListParagraph"/>
        <w:numPr>
          <w:ilvl w:val="0"/>
          <w:numId w:val="2"/>
        </w:numPr>
        <w:spacing w:after="60"/>
      </w:pPr>
      <w:r>
        <w:t xml:space="preserve">Vor dem Anlegen einer neuen Person mit erwaehnten Vorgaenger-Companies pruefen, ob die Person bereits in der DB existiert (Suche ueber Vorname/Nachname mit Treffer-Liste). Bei Match: einen person-Eintrag mit zwei (oder mehr) role-Zeilen statt zwei separater person-Eintraege.</w:t>
      </w:r>
    </w:p>
    <w:p>
      <w:pPr>
        <w:pStyle w:val="ListParagraph"/>
        <w:numPr>
          <w:ilvl w:val="0"/>
          <w:numId w:val="2"/>
        </w:numPr>
        <w:spacing w:after="60"/>
      </w:pPr>
      <w:r>
        <w:t xml:space="preserve">Quelle der Bio in first_mention_source. Bei Karriere-Konflikten zwischen mehreren Bios (z. B. Datums-Abweichungen) gilt §8 Konflikt-Behandlung.</w:t>
      </w:r>
    </w:p>
    <w:p>
      <w:pPr>
        <w:pStyle w:val="Heading2"/>
        <w:spacing w:after="120" w:before="240"/>
      </w:pPr>
      <w:r>
        <w:rPr>
          <w:b/>
          <w:bCs/>
        </w:rPr>
        <w:t xml:space="preserve">4.2  NULL-Disambiguierung</w:t>
      </w:r>
    </w:p>
    <w:p>
      <w:pPr>
        <w:spacing w:after="120"/>
      </w:pPr>
      <w:r>
        <w:t xml:space="preserve">Personen mit nur NULL-Disambiguierungs-Feldern (kein birth_year, kein education, kein bio_text) koennen company-uebergreifend nur dann sicher als 'seriell erfolgreich' oder 'seriell scheiternd' identifiziert werden, wenn der Name selbst extrem selten ist oder die Quellen explizit auf Identitaet verweisen. Andernfalls konservativ zwei Eintraege anlegen. Bei lokalen Geologen aus Schwellenlaendern wird dies in der Praxis haeufig der Fall sein.</w:t>
      </w:r>
    </w:p>
    <w:p>
      <w:pPr>
        <w:pStyle w:val="Heading1"/>
        <w:spacing w:after="180" w:before="360"/>
      </w:pPr>
      <w:r>
        <w:rPr>
          <w:b/>
          <w:bCs/>
        </w:rPr>
        <w:t xml:space="preserve">5  Belegpflicht und Quellen-Log</w:t>
      </w:r>
    </w:p>
    <w:p>
      <w:pPr>
        <w:spacing w:after="120"/>
      </w:pPr>
      <w:r>
        <w:t xml:space="preserve">Jede nicht-triviale Aussage in der Datenbank muss belegbar sein. Operativ wird das ueber die separate Datei data/sources.csv geregelt.</w:t>
      </w:r>
    </w:p>
    <w:p>
      <w:pPr>
        <w:pStyle w:val="Heading2"/>
        <w:spacing w:after="120" w:before="240"/>
      </w:pPr>
      <w:r>
        <w:rPr>
          <w:b/>
          <w:bCs/>
        </w:rPr>
        <w:t xml:space="preserve">5.1  Aufbau der sources.csv</w:t>
      </w:r>
    </w:p>
    <w:p>
      <w:pPr>
        <w:pStyle w:val="ListParagraph"/>
        <w:numPr>
          <w:ilvl w:val="0"/>
          <w:numId w:val="2"/>
        </w:numPr>
        <w:spacing w:after="60"/>
      </w:pPr>
      <w:r>
        <w:t xml:space="preserve">Pflichtspalten: source_id, citation, url, accessed_date, source_type.</w:t>
      </w:r>
    </w:p>
    <w:p>
      <w:pPr>
        <w:pStyle w:val="ListParagraph"/>
        <w:numPr>
          <w:ilvl w:val="0"/>
          <w:numId w:val="2"/>
        </w:numPr>
        <w:spacing w:after="60"/>
      </w:pPr>
      <w:r>
        <w:t xml:space="preserve">source_id-Muster: &lt;KUERZEL&gt;-&lt;TICKER/PERSON&gt;-&lt;JAHR&gt;-&lt;TYP&gt;, z. B. SEDAR-AUR-2007-AR.</w:t>
      </w:r>
    </w:p>
    <w:p>
      <w:pPr>
        <w:pStyle w:val="ListParagraph"/>
        <w:numPr>
          <w:ilvl w:val="0"/>
          <w:numId w:val="2"/>
        </w:numPr>
        <w:spacing w:after="60"/>
      </w:pPr>
      <w:r>
        <w:t xml:space="preserve">source_type ist eine kontrollierte Vokabel: filing | press | book | academic | web | other.</w:t>
      </w:r>
    </w:p>
    <w:p>
      <w:pPr>
        <w:pStyle w:val="ListParagraph"/>
        <w:numPr>
          <w:ilvl w:val="0"/>
          <w:numId w:val="2"/>
        </w:numPr>
        <w:spacing w:after="60"/>
      </w:pPr>
      <w:r>
        <w:t xml:space="preserve">accessed_date im ISO-8601-Format YYYY-MM-DD.</w:t>
      </w:r>
    </w:p>
    <w:p>
      <w:pPr>
        <w:pStyle w:val="ListParagraph"/>
        <w:numPr>
          <w:ilvl w:val="0"/>
          <w:numId w:val="2"/>
        </w:numPr>
        <w:spacing w:after="60"/>
      </w:pPr>
      <w:r>
        <w:t xml:space="preserve">citation: volle bibliografische Angabe, ausreichend fuer eigenstaendiges Wiederauffinden.</w:t>
      </w:r>
    </w:p>
    <w:p>
      <w:pPr>
        <w:pStyle w:val="Heading2"/>
        <w:spacing w:after="120" w:before="240"/>
      </w:pPr>
      <w:r>
        <w:rPr>
          <w:b/>
          <w:bCs/>
        </w:rPr>
        <w:t xml:space="preserve">5.2  Verknuepfung mit der DB</w:t>
      </w:r>
    </w:p>
    <w:p>
      <w:pPr>
        <w:spacing w:after="120"/>
      </w:pPr>
      <w:r>
        <w:t xml:space="preserve">Die SQL-Spalte person.first_mention_source speichert die source_id (nicht die volle Zitation). Analoge Spalten koennen in Phase 3 fuer company, project und event ergaenzt werden. Migration auf eine eigene source-Tabelle mit Foreign Keys ist fuer Phase 3 offen.</w:t>
      </w:r>
    </w:p>
    <w:p>
      <w:pPr>
        <w:pStyle w:val="Heading2"/>
        <w:spacing w:after="120" w:before="240"/>
      </w:pPr>
      <w:r>
        <w:rPr>
          <w:b/>
          <w:bCs/>
        </w:rPr>
        <w:t xml:space="preserve">5.3  Mehrfach-Quellen</w:t>
      </w:r>
    </w:p>
    <w:p>
      <w:pPr>
        <w:spacing w:after="120"/>
      </w:pPr>
      <w:r>
        <w:t xml:space="preserve">Bei mehreren Quellen fuer dieselbe Aussage: die zeitlich frueheste Primaerquelle wird in first_mention_source gespeichert. Weitere Quellen werden in sources.csv ergaenzt.</w:t>
      </w:r>
    </w:p>
    <w:p>
      <w:pPr>
        <w:pStyle w:val="Heading2"/>
        <w:spacing w:after="120" w:before="240"/>
      </w:pPr>
      <w:r>
        <w:rPr>
          <w:b/>
          <w:bCs/>
        </w:rPr>
        <w:t xml:space="preserve">5.4  Pipeline-Minimum</w:t>
      </w:r>
    </w:p>
    <w:p>
      <w:pPr>
        <w:spacing w:after="120"/>
      </w:pPr>
      <w:r>
        <w:t xml:space="preserve">Ab v0.2 gilt fuer den Pipeline-Modus (§11): jeder Schluesselfakt einer Company (Discovery-Jahr, M&amp;A-Premium, Reserve-Estimate, Personen-Identifikation) muss durch mindestens zwei unabhaengige Primaerquellen (Stufe 1 oder 2) gestuetzt sein. Bei nur einer Quelle: als Zweifelsfall an Lew vorlegen (§11.3).</w:t>
      </w:r>
    </w:p>
    <w:p>
      <w:pPr>
        <w:pStyle w:val="Heading1"/>
        <w:spacing w:after="180" w:before="360"/>
      </w:pPr>
      <w:r>
        <w:rPr>
          <w:b/>
          <w:bCs/>
        </w:rPr>
        <w:t xml:space="preserve">6  Erfolgs-Labeling (success_label)</w:t>
      </w:r>
    </w:p>
    <w:p>
      <w:pPr>
        <w:spacing w:after="120"/>
      </w:pPr>
      <w:r>
        <w:t xml:space="preserve">success_label nimmt einen von vier Werten an. Wichtig: Das Label wird ex ante aus der Sample-Definition uebernommen, nicht aus dem berechneten Score abgeleitet. Der Score dient der spaeteren empirischen Validierung der Gewichtung (Regression Score ↔ Label).</w:t>
      </w:r>
    </w:p>
    <w:p>
      <w:pPr>
        <w:pStyle w:val="ListParagraph"/>
        <w:numPr>
          <w:ilvl w:val="0"/>
          <w:numId w:val="2"/>
        </w:numPr>
        <w:spacing w:after="60"/>
      </w:pPr>
      <w:r>
        <w:t xml:space="preserve">success — Company gehoert zum vordefinierten Erfolgs-Sample von 25 Companies (Konzeptpapier v0.4, Abschnitt 7.2).</w:t>
      </w:r>
    </w:p>
    <w:p>
      <w:pPr>
        <w:pStyle w:val="ListParagraph"/>
        <w:numPr>
          <w:ilvl w:val="0"/>
          <w:numId w:val="2"/>
        </w:numPr>
        <w:spacing w:after="60"/>
      </w:pPr>
      <w:r>
        <w:t xml:space="preserve">failure — Company gehoert zum Negativ-Sample von 25 Companies (Konzeptpapier v0.4, Abschnitt 8.1).</w:t>
      </w:r>
    </w:p>
    <w:p>
      <w:pPr>
        <w:pStyle w:val="ListParagraph"/>
        <w:numPr>
          <w:ilvl w:val="0"/>
          <w:numId w:val="2"/>
        </w:numPr>
        <w:spacing w:after="60"/>
      </w:pPr>
      <w:r>
        <w:t xml:space="preserve">ambivalent — Company kann nicht eindeutig zugeordnet werden (Konzeptpapier v0.4, Abschnitt 8.2 — O'Dea, Sussman, Titaro, La Salle).</w:t>
      </w:r>
    </w:p>
    <w:p>
      <w:pPr>
        <w:pStyle w:val="ListParagraph"/>
        <w:numPr>
          <w:ilvl w:val="0"/>
          <w:numId w:val="2"/>
        </w:numPr>
        <w:spacing w:after="60"/>
      </w:pPr>
      <w:r>
        <w:t xml:space="preserve">pending — Eintrag noch unvollstaendig, Label noch nicht final gesetzt.</w:t>
      </w:r>
    </w:p>
    <w:p>
      <w:pPr>
        <w:pStyle w:val="Heading1"/>
        <w:spacing w:after="180" w:before="360"/>
      </w:pPr>
      <w:r>
        <w:rPr>
          <w:b/>
          <w:bCs/>
        </w:rPr>
        <w:t xml:space="preserve">7  Score-Berechnung</w:t>
      </w:r>
    </w:p>
    <w:p>
      <w:pPr>
        <w:spacing w:after="120"/>
      </w:pPr>
      <w:r>
        <w:t xml:space="preserve">Vier Komponenten, jeweils skaliert auf [0,1], anschliessend gewichtet summiert. Die Gewichte sind v0.1-Vorschlag (in v0.2 unveraendert) und werden in Phase 3 empirisch kalibriert (Regression gegen success_label des 50-Company-Samples). Alle vier Komponenten werden einzeln in der outcome-Tabelle gespeichert, sodass jede beliebige Gewichtungs-Variante in Phase 3 retrospektiv berechnet werden kann, ohne Daten neu zu erheben.</w:t>
      </w:r>
    </w:p>
    <w:p>
      <w:pPr>
        <w:pStyle w:val="Heading2"/>
        <w:spacing w:after="120" w:before="240"/>
      </w:pPr>
      <w:r>
        <w:rPr>
          <w:b/>
          <w:bCs/>
        </w:rPr>
        <w:t xml:space="preserve">7.1  Discovery-Score (Gewicht 25 %)</w:t>
      </w:r>
    </w:p>
    <w:p>
      <w:pPr>
        <w:spacing w:after="120"/>
      </w:pPr>
      <w:r>
        <w:t xml:space="preserve">Operationale Frage: Hat die Company eine signifikante Lagerstaette selbst entdeckt oder massgeblich identifiziert?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Punkte</w:t>
            </w:r>
          </w:p>
        </w:tc>
        <w:tc>
          <w:tcPr>
            <w:tcW w:type="dxa" w:w="7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Kriterium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1.0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Eigene Discovery, durch NI 43-101 / JORC bestaetigt, mit nachvollziehbaren Bohrergebnissen.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0.5</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Discovery durch Vorgaenger; signifikante Erweiterung durch die Company (Strike-Extension, neue Zone, bedeutende Grade-Verbesserung).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Keine eigene Discovery; Erwerb einer existierenden Ressource ohne wesentliche Erweiterung.</w:t>
            </w:r>
          </w:p>
        </w:tc>
      </w:tr>
    </w:tbl>
    <w:p>
      <w:pPr>
        <w:pStyle w:val="Heading2"/>
        <w:spacing w:after="120" w:before="240"/>
      </w:pPr>
      <w:r>
        <w:rPr>
          <w:b/>
          <w:bCs/>
        </w:rPr>
        <w:t xml:space="preserve">7.2  Reserve-Conversion-Score (Gewicht 25 %)</w:t>
      </w:r>
    </w:p>
    <w:p>
      <w:pPr>
        <w:spacing w:after="120"/>
      </w:pPr>
      <w:r>
        <w:t xml:space="preserve">Operationale Frage: Wurde die Ressource zu wirtschaftlichen Reserven entwickelt?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Punkte</w:t>
            </w:r>
          </w:p>
        </w:tc>
        <w:tc>
          <w:tcPr>
            <w:tcW w:type="dxa" w:w="7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Kriterium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1.0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Proven + Probable Reserves veroeffentlicht (Feasibility Study FS).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0.6</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Indicated + Measured Resources, Pre-Feasibility Study PFS abgeschlossen.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0.3</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Indicated/Measured Resources, nur PEA.</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Nur Inferred Resources oder keine Resource.</w:t>
            </w:r>
          </w:p>
        </w:tc>
      </w:tr>
    </w:tbl>
    <w:p>
      <w:pPr>
        <w:spacing w:after="120"/>
      </w:pPr>
      <w:r>
        <w:t xml:space="preserve">Anmerkung v0.2: Sell-to-Major-Companies (Akquisition im Discovery-Stadium, z. B. Aurelian) erhalten hier 0.0, weil die Reserve-Conversion-Arbeit nicht von der Company selbst geleistet wurde. Das deckelt den Score auf 0.75, auch bei sonst idealtypischem Junior-Erfolg. Eine Anpassung der Gewichtung wird nicht jetzt vorgenommen, sondern in Phase 3 empirisch geprueft.</w:t>
      </w:r>
    </w:p>
    <w:p>
      <w:pPr>
        <w:pStyle w:val="Heading2"/>
        <w:spacing w:after="120" w:before="240"/>
      </w:pPr>
      <w:r>
        <w:rPr>
          <w:b/>
          <w:bCs/>
        </w:rPr>
        <w:t xml:space="preserve">7.3  Exit-/Production-Score (Gewicht 30 %)</w:t>
      </w:r>
    </w:p>
    <w:p>
      <w:pPr>
        <w:spacing w:after="120"/>
      </w:pPr>
      <w:r>
        <w:t xml:space="preserve">Operationale Frage: Wie endete die Company-Story — oder wo steht sie heute, falls noch aktiv?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Punkte</w:t>
            </w:r>
          </w:p>
        </w:tc>
        <w:tc>
          <w:tcPr>
            <w:tcW w:type="dxa" w:w="7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Kriterium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1.0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Akquisition durch Major mit Premium ≥ 30 % ueber 20-Tage-VWAP, oder kommerzielle Produktion erreicht.</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0.7</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Akquisition mit Premium 10–30 % ueber 20-Tage-VWAP, oder strategisches Joint Venture mit Major.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0.4</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Merger of Equals, Spin-Off mit Werterhalt, oder Restrukturierung mit Fortbestand.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Insolvenz, Delisting wegen Wertverlust, oder Aufgabe des Hauptprojekts.</w:t>
            </w:r>
          </w:p>
        </w:tc>
      </w:tr>
    </w:tbl>
    <w:p>
      <w:pPr>
        <w:spacing w:after="120"/>
      </w:pPr>
      <w:r>
        <w:t xml:space="preserve">VWAP-Konvention (Aenderung ggue. v0.1): Premium wird auf den 20-Tage-Volume-Weighted-Average-Price berechnet. Begruendung: kanadische Industrie-Konvention; Primaerquellen (Pressemitteilungen der Beteiligten, OSC-Filings) berichten ueberwiegend 20-Tage-VWAP. Direkter Quellen-Akzept reduziert den Nachrechnungs-Aufwand. Bei Quellen mit abweichender Lookback-Periode (selten): Periode in sources.csv vermerken und 20-Tage-VWAP eigenstaendig nachrechnen, falls Grenzfall (Premium nahe der 10 %- oder 30 %-Schwelle).</w:t>
      </w:r>
    </w:p>
    <w:p>
      <w:pPr>
        <w:pStyle w:val="Heading2"/>
        <w:spacing w:after="120" w:before="240"/>
      </w:pPr>
      <w:r>
        <w:rPr>
          <w:b/>
          <w:bCs/>
        </w:rPr>
        <w:t xml:space="preserve">7.4  Peak-MarketCap-Score (Gewicht 20 %)</w:t>
      </w:r>
    </w:p>
    <w:p>
      <w:pPr>
        <w:spacing w:after="120"/>
      </w:pPr>
      <w:r>
        <w:t xml:space="preserve">Operationale Frage: Welche Marktkapitalisierung erreichte die Company auf ihrem Hoehepunkt? CAD, nominal (Inflationsanpassung in Phase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Punkte</w:t>
            </w:r>
          </w:p>
        </w:tc>
        <w:tc>
          <w:tcPr>
            <w:tcW w:type="dxa" w:w="7500"/>
            <w:tcBorders>
              <w:top w:val="single" w:color="999999" w:sz="1"/>
              <w:left w:val="single" w:color="999999" w:sz="1"/>
              <w:bottom w:val="single" w:color="999999" w:sz="1"/>
              <w:right w:val="single" w:color="999999" w:sz="1"/>
            </w:tcBorders>
            <w:shd w:fill="E5E5E5" w:val="clear"/>
            <w:tcMar>
              <w:top w:type="dxa" w:w="80"/>
              <w:left w:type="dxa" w:w="120"/>
              <w:bottom w:type="dxa" w:w="80"/>
              <w:right w:type="dxa" w:w="120"/>
            </w:tcMar>
          </w:tcPr>
          <w:p>
            <w:r>
              <w:rPr>
                <w:b/>
                <w:bCs/>
              </w:rPr>
              <w:t xml:space="preserve">Kriterium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1.0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Peak MarketCap ≥ 1 Mrd CAD.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0.6</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Peak MarketCap 250 Mio – 1 Mrd CAD.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0.3</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Peak MarketCap 50 – 250 Mio CAD.</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0.0</w:t>
            </w:r>
          </w:p>
        </w:tc>
        <w:tc>
          <w:tcPr>
            <w:tcW w:type="dxa" w:w="7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Peak MarketCap &lt; 50 Mio CAD.</w:t>
            </w:r>
          </w:p>
        </w:tc>
      </w:tr>
    </w:tbl>
    <w:p>
      <w:pPr>
        <w:spacing w:after="120"/>
      </w:pPr>
      <w:r>
        <w:t xml:space="preserve">Zusaetzlich (neu in v0.2): Der exakte numerische Wert wird in der Spalte outcome.peak_marketcap_cad_million gespeichert (REAL, Einheit Mio CAD). Damit kann die Bucket-Grenze in Phase 3 empirisch kalibriert werden, ohne neue Datenerhebung. Quelle: hoechster monatlicher Schlusskurs ueber die gesamte Listing-Phase × ausstehende Aktien zu diesem Zeitpunkt. Bei mehreren Peaks: der zeitlich frueheste, der die Schwelle dauerhaft (&gt;= 1 Monat) erreichte.</w:t>
      </w:r>
    </w:p>
    <w:p>
      <w:pPr>
        <w:pStyle w:val="Heading2"/>
        <w:spacing w:after="120" w:before="240"/>
      </w:pPr>
      <w:r>
        <w:rPr>
          <w:b/>
          <w:bCs/>
        </w:rPr>
        <w:t xml:space="preserve">7.5  Gesamt-Score</w:t>
      </w:r>
    </w:p>
    <w:p>
      <w:pPr>
        <w:spacing w:after="120"/>
      </w:pPr>
      <w:r>
        <w:t xml:space="preserve">Formel: total_score = 0.25 × discovery + 0.25 × reserve_conversion + 0.30 × exit_production + 0.20 × peak_marketcap</w:t>
      </w:r>
    </w:p>
    <w:p>
      <w:pPr>
        <w:spacing w:after="120"/>
      </w:pPr>
      <w:r>
        <w:t xml:space="preserve">Wertebereich [0.0, 1.0]. Der Score wird in der outcome-Tabelle gespeichert. Die Gewichts-Kalibrierung gehoert zu Phase 3 (empirische Regression gegen success_label). Bis dahin bleiben die v0.1-Gewichte als Default. Da die vier Komponenten einzeln gespeichert sind, kann jede alternative Gewichtungs-Variante (z. B. ohne Reserve-Conversion fuer Sell-to-Major-Sub-Sample) retrospektiv ohne Daten-Neuerhebung berechnet werden.</w:t>
      </w:r>
    </w:p>
    <w:p>
      <w:pPr>
        <w:pStyle w:val="Heading1"/>
        <w:spacing w:after="180" w:before="360"/>
      </w:pPr>
      <w:r>
        <w:rPr>
          <w:b/>
          <w:bCs/>
        </w:rPr>
        <w:t xml:space="preserve">8  Konflikt-Behandlung</w:t>
      </w:r>
    </w:p>
    <w:p>
      <w:pPr>
        <w:spacing w:after="120"/>
      </w:pPr>
      <w:r>
        <w:t xml:space="preserve">Wenn zwei Quellen sich widersprechen, wird in dieser Reihenfolge vorgegangen:</w:t>
      </w:r>
    </w:p>
    <w:p>
      <w:pPr>
        <w:pStyle w:val="ListParagraph"/>
        <w:numPr>
          <w:ilvl w:val="0"/>
          <w:numId w:val="3"/>
        </w:numPr>
        <w:spacing w:after="60"/>
      </w:pPr>
      <w:r>
        <w:t xml:space="preserve">Quelle der hoeheren Hierarchie-Stufe (Abschnitt 2) hat Vorrang.</w:t>
      </w:r>
    </w:p>
    <w:p>
      <w:pPr>
        <w:pStyle w:val="ListParagraph"/>
        <w:numPr>
          <w:ilvl w:val="0"/>
          <w:numId w:val="3"/>
        </w:numPr>
        <w:spacing w:after="60"/>
      </w:pPr>
      <w:r>
        <w:t xml:space="preserve">Bei gleicher Stufe: die zeitlich naehere Quelle zum Ereignis hat Vorrang (z. B. zeitnahes Filing &gt; spaeterer Rueckblick).</w:t>
      </w:r>
    </w:p>
    <w:p>
      <w:pPr>
        <w:pStyle w:val="ListParagraph"/>
        <w:numPr>
          <w:ilvl w:val="0"/>
          <w:numId w:val="3"/>
        </w:numPr>
        <w:spacing w:after="60"/>
      </w:pPr>
      <w:r>
        <w:t xml:space="preserve">Beide Quellen werden in sources.csv erfasst, mit jeweils eigener source_id.</w:t>
      </w:r>
    </w:p>
    <w:p>
      <w:pPr>
        <w:pStyle w:val="ListParagraph"/>
        <w:numPr>
          <w:ilvl w:val="0"/>
          <w:numId w:val="3"/>
        </w:numPr>
        <w:spacing w:after="60"/>
      </w:pPr>
      <w:r>
        <w:t xml:space="preserve">Bei nicht aufloesbaren Widerspruechen: konservativster Wert in die DB; Begruendung als Kommentar in der citation-Spalte des betroffenen Quelleintrags.</w:t>
      </w:r>
    </w:p>
    <w:p>
      <w:pPr>
        <w:pStyle w:val="Heading1"/>
        <w:spacing w:after="180" w:before="360"/>
      </w:pPr>
      <w:r>
        <w:rPr>
          <w:b/>
          <w:bCs/>
        </w:rPr>
        <w:t xml:space="preserve">9  Konventionen</w:t>
      </w:r>
    </w:p>
    <w:p>
      <w:pPr>
        <w:pStyle w:val="ListParagraph"/>
        <w:numPr>
          <w:ilvl w:val="0"/>
          <w:numId w:val="2"/>
        </w:numPr>
        <w:spacing w:after="60"/>
      </w:pPr>
      <w:r>
        <w:t xml:space="preserve">Datumsformat: ISO 8601 (YYYY-MM-DD). Bei fehlendem Tag: YYYY-MM. Bei fehlendem Monat: YYYY.</w:t>
      </w:r>
    </w:p>
    <w:p>
      <w:pPr>
        <w:pStyle w:val="ListParagraph"/>
        <w:numPr>
          <w:ilvl w:val="0"/>
          <w:numId w:val="2"/>
        </w:numPr>
        <w:spacing w:after="60"/>
      </w:pPr>
      <w:r>
        <w:t xml:space="preserve">Personennamen: Originalschreibweise der Primaerquelle. Diakritika in Unicode (UTF-8).</w:t>
      </w:r>
    </w:p>
    <w:p>
      <w:pPr>
        <w:pStyle w:val="ListParagraph"/>
        <w:numPr>
          <w:ilvl w:val="0"/>
          <w:numId w:val="2"/>
        </w:numPr>
        <w:spacing w:after="60"/>
      </w:pPr>
      <w:r>
        <w:t xml:space="preserve">SQL-Spaltennamen: englisch, snake_case. Ausnahmen: person.vorname und person.nachname (historisch gewachsen).</w:t>
      </w:r>
    </w:p>
    <w:p>
      <w:pPr>
        <w:pStyle w:val="ListParagraph"/>
        <w:numPr>
          <w:ilvl w:val="0"/>
          <w:numId w:val="2"/>
        </w:numPr>
        <w:spacing w:after="60"/>
      </w:pPr>
      <w:r>
        <w:t xml:space="preserve">Waehrungsbetraege: CAD, nominal, ohne Tausendertrennzeichen, Punkt als Dezimaltrennzeichen.</w:t>
      </w:r>
    </w:p>
    <w:p>
      <w:pPr>
        <w:pStyle w:val="ListParagraph"/>
        <w:numPr>
          <w:ilvl w:val="0"/>
          <w:numId w:val="2"/>
        </w:numPr>
        <w:spacing w:after="60"/>
      </w:pPr>
      <w:r>
        <w:t xml:space="preserve">Fehlende Daten: SQL NULL (nicht 'N/A', nicht Leerstring, nicht 'unknown').</w:t>
      </w:r>
    </w:p>
    <w:p>
      <w:pPr>
        <w:pStyle w:val="ListParagraph"/>
        <w:numPr>
          <w:ilvl w:val="0"/>
          <w:numId w:val="2"/>
        </w:numPr>
        <w:spacing w:after="60"/>
      </w:pPr>
      <w:r>
        <w:t xml:space="preserve">Boolesche Werte: 0 / 1 (SQLite hat keinen nativen Boolean-Typ).</w:t>
      </w:r>
    </w:p>
    <w:p>
      <w:pPr>
        <w:pStyle w:val="ListParagraph"/>
        <w:numPr>
          <w:ilvl w:val="0"/>
          <w:numId w:val="2"/>
        </w:numPr>
        <w:spacing w:after="60"/>
      </w:pPr>
      <w:r>
        <w:t xml:space="preserve">Datei-Namens-Konvention: YYMMDD &lt;Beschreibung&gt;.&lt;ext&gt; (siehe CLAUDE.md).</w:t>
      </w:r>
    </w:p>
    <w:p>
      <w:pPr>
        <w:pStyle w:val="ListParagraph"/>
        <w:numPr>
          <w:ilvl w:val="0"/>
          <w:numId w:val="2"/>
        </w:numPr>
        <w:spacing w:after="60"/>
      </w:pPr>
      <w:r>
        <w:t xml:space="preserve">Git-Commits: Subject-Line auf Deutsch, knapp; bei nicht-trivialen Datenaenderungen erlaeuternder Body.</w:t>
      </w:r>
    </w:p>
    <w:p>
      <w:pPr>
        <w:pStyle w:val="ListParagraph"/>
        <w:numPr>
          <w:ilvl w:val="0"/>
          <w:numId w:val="2"/>
        </w:numPr>
        <w:spacing w:after="60"/>
      </w:pPr>
      <w:r>
        <w:t xml:space="preserve">SQLite-spezifisch: PRAGMA foreign_keys = ON wird pro Connection in jedem Python-Script gesetzt.</w:t>
      </w:r>
    </w:p>
    <w:p>
      <w:pPr>
        <w:pStyle w:val="Heading1"/>
        <w:spacing w:after="180" w:before="360"/>
      </w:pPr>
      <w:r>
        <w:rPr>
          <w:b/>
          <w:bCs/>
        </w:rPr>
        <w:t xml:space="preserve">10  Projekt-Hierarchie: Konzession ↔ Deposit (neu in v0.2)</w:t>
      </w:r>
    </w:p>
    <w:p>
      <w:pPr>
        <w:spacing w:after="120"/>
      </w:pPr>
      <w:r>
        <w:t xml:space="preserve">Eine Junior haelt typisch eine Konzession (Claim-Block, grosse Flaeche) und entdeckt darin ein bis drei Deposits. Schema v1.2 modelliert diese Beziehung ueber project.parent_project_id (Self-Reference). Konzessions-Zeile und Deposit-Zeilen leben in derselben project-Tabelle.</w:t>
      </w:r>
    </w:p>
    <w:p>
      <w:pPr>
        <w:pStyle w:val="Heading2"/>
        <w:spacing w:after="120" w:before="240"/>
      </w:pPr>
      <w:r>
        <w:rPr>
          <w:b/>
          <w:bCs/>
        </w:rPr>
        <w:t xml:space="preserve">10.1  Eintragungs-Regel</w:t>
      </w:r>
    </w:p>
    <w:p>
      <w:pPr>
        <w:pStyle w:val="ListParagraph"/>
        <w:numPr>
          <w:ilvl w:val="0"/>
          <w:numId w:val="2"/>
        </w:numPr>
        <w:spacing w:after="60"/>
      </w:pPr>
      <w:r>
        <w:t xml:space="preserve">Konzession (Eltern-Eintrag): name = Konzessions-Bezeichnung (z. B. 'Cordillera del Cóndor / Condor Project'), jurisdiction, stage_at_acquisition = 'Greenfield' oder uebliches Anfangs-Stadium, parent_project_id = NULL.</w:t>
      </w:r>
    </w:p>
    <w:p>
      <w:pPr>
        <w:pStyle w:val="ListParagraph"/>
        <w:numPr>
          <w:ilvl w:val="0"/>
          <w:numId w:val="2"/>
        </w:numPr>
        <w:spacing w:after="60"/>
      </w:pPr>
      <w:r>
        <w:t xml:space="preserve">Deposit (Kind-Eintrag): name = Deposit-Bezeichnung (z. B. 'Fruta del Norte'), jurisdiction (kann praeziser sein als Konzession), deposit_type, peak_stage, parent_project_id = ID der Konzessions-Zeile.</w:t>
      </w:r>
    </w:p>
    <w:p>
      <w:pPr>
        <w:pStyle w:val="ListParagraph"/>
        <w:numPr>
          <w:ilvl w:val="0"/>
          <w:numId w:val="2"/>
        </w:numPr>
        <w:spacing w:after="60"/>
      </w:pPr>
      <w:r>
        <w:t xml:space="preserve">Wenn unklar oder nur 1 Deposit in 1 Konzession: nur eine Zeile mit kombiniertem Namen anlegen (parent_project_id NULL), Konzession nicht separat fuehren. Vermeidet Aufblaehung bei trivialen Faellen.</w:t>
      </w:r>
    </w:p>
    <w:p>
      <w:pPr>
        <w:pStyle w:val="Heading2"/>
        <w:spacing w:after="120" w:before="240"/>
      </w:pPr>
      <w:r>
        <w:rPr>
          <w:b/>
          <w:bCs/>
        </w:rPr>
        <w:t xml:space="preserve">10.2  Beispiel Aurelian</w:t>
      </w:r>
    </w:p>
    <w:p>
      <w:pPr>
        <w:spacing w:after="120"/>
      </w:pPr>
      <w:r>
        <w:t xml:space="preserve">Aurelian Resources Ltd. hielt die Konzession Cordillera del Cóndor ab ca. 2004 (Stage: Greenfield). Innerhalb dieser Konzession entdeckte das Team 2006 das Deposit Fruta del Norte (Stage: Discovery). Wenn diese Hierarchie nachgetragen werden soll, wird die bestehende Zeile 'Fruta del Norte' beibehalten und um eine neue Konzessions-Zeile 'Cordillera del Cóndor / Condor Project' ergaenzt; die Fruta-Zeile bekommt dann parent_project_id = ID der Konzessions-Zeile.</w:t>
      </w:r>
    </w:p>
    <w:p>
      <w:pPr>
        <w:pStyle w:val="Heading1"/>
        <w:spacing w:after="180" w:before="360"/>
      </w:pPr>
      <w:r>
        <w:rPr>
          <w:b/>
          <w:bCs/>
        </w:rPr>
        <w:t xml:space="preserve">11  Pipeline-Modus (neu in v0.2)</w:t>
      </w:r>
    </w:p>
    <w:p>
      <w:pPr>
        <w:spacing w:after="120"/>
      </w:pPr>
      <w:r>
        <w:t xml:space="preserve">Ab v0.2 wechselt die Datenerfassung von manueller Einzelarbeit auf einen Pipeline-Modus, in dem Claude pro Company autonom Quellen recherchiert, SQL-Insert generiert und an Lew ausliefert. Lew uebernimmt die Rolle des Reviewers; nur definierte Zweifelsfaelle werden vorgelegt.</w:t>
      </w:r>
    </w:p>
    <w:p>
      <w:pPr>
        <w:pStyle w:val="Heading2"/>
        <w:spacing w:after="120" w:before="240"/>
      </w:pPr>
      <w:r>
        <w:rPr>
          <w:b/>
          <w:bCs/>
        </w:rPr>
        <w:t xml:space="preserve">11.1  Ablauf pro Company</w:t>
      </w:r>
    </w:p>
    <w:p>
      <w:pPr>
        <w:pStyle w:val="ListParagraph"/>
        <w:numPr>
          <w:ilvl w:val="0"/>
          <w:numId w:val="3"/>
        </w:numPr>
        <w:spacing w:after="60"/>
      </w:pPr>
      <w:r>
        <w:t xml:space="preserve">WebSearch (oder Filing-Zugriff, sofern verfuegbar) zu Schluesselfakten: company-Stammdaten, Top-Personen, Schluessel-Projekt, Score-Komponenten, Events.</w:t>
      </w:r>
    </w:p>
    <w:p>
      <w:pPr>
        <w:pStyle w:val="ListParagraph"/>
        <w:numPr>
          <w:ilvl w:val="0"/>
          <w:numId w:val="3"/>
        </w:numPr>
        <w:spacing w:after="60"/>
      </w:pPr>
      <w:r>
        <w:t xml:space="preserve">Identifikation von mindestens 2 unabhaengigen Primaerquellen (Stufe 1 oder 2) pro Schluesselfakt. Eintrag in data/sources.csv.</w:t>
      </w:r>
    </w:p>
    <w:p>
      <w:pPr>
        <w:pStyle w:val="ListParagraph"/>
        <w:numPr>
          <w:ilvl w:val="0"/>
          <w:numId w:val="3"/>
        </w:numPr>
        <w:spacing w:after="60"/>
      </w:pPr>
      <w:r>
        <w:t xml:space="preserve">Generierung der INSERT-SQL-Datei in sql/. Reihenfolge: company → person → role → project → outcome → event.</w:t>
      </w:r>
    </w:p>
    <w:p>
      <w:pPr>
        <w:pStyle w:val="ListParagraph"/>
        <w:numPr>
          <w:ilvl w:val="0"/>
          <w:numId w:val="3"/>
        </w:numPr>
        <w:spacing w:after="60"/>
      </w:pPr>
      <w:r>
        <w:t xml:space="preserve">Self-Check gegen Workflow v0.2: alle Score-Felder belegt, parent_project_id gesetzt wo zutreffend, role-Konventionen eingehalten, sources.csv erweitert.</w:t>
      </w:r>
    </w:p>
    <w:p>
      <w:pPr>
        <w:pStyle w:val="ListParagraph"/>
        <w:numPr>
          <w:ilvl w:val="0"/>
          <w:numId w:val="3"/>
        </w:numPr>
        <w:spacing w:after="60"/>
      </w:pPr>
      <w:r>
        <w:t xml:space="preserve">Audit-Log-Eintrag: was sicher belegt, was geflaggt, was offen.</w:t>
      </w:r>
    </w:p>
    <w:p>
      <w:pPr>
        <w:pStyle w:val="Heading2"/>
        <w:spacing w:after="120" w:before="240"/>
      </w:pPr>
      <w:r>
        <w:rPr>
          <w:b/>
          <w:bCs/>
        </w:rPr>
        <w:t xml:space="preserve">11.2  Batch-Format</w:t>
      </w:r>
    </w:p>
    <w:p>
      <w:pPr>
        <w:spacing w:after="120"/>
      </w:pPr>
      <w:r>
        <w:t xml:space="preserve">Claude liefert in Batches von 5 Companies. Pro Batch:</w:t>
      </w:r>
    </w:p>
    <w:p>
      <w:pPr>
        <w:pStyle w:val="ListParagraph"/>
        <w:numPr>
          <w:ilvl w:val="0"/>
          <w:numId w:val="2"/>
        </w:numPr>
        <w:spacing w:after="60"/>
      </w:pPr>
      <w:r>
        <w:t xml:space="preserve">5 INSERT-SQL-Dateien (eine pro Company) mit Datei-Namens-Konvention YYMMDD Insert &lt;Company&gt;.sql.</w:t>
      </w:r>
    </w:p>
    <w:p>
      <w:pPr>
        <w:pStyle w:val="ListParagraph"/>
        <w:numPr>
          <w:ilvl w:val="0"/>
          <w:numId w:val="2"/>
        </w:numPr>
        <w:spacing w:after="60"/>
      </w:pPr>
      <w:r>
        <w:t xml:space="preserve">Erweiterung der data/sources.csv um alle neuen Quellen.</w:t>
      </w:r>
    </w:p>
    <w:p>
      <w:pPr>
        <w:pStyle w:val="ListParagraph"/>
        <w:numPr>
          <w:ilvl w:val="0"/>
          <w:numId w:val="2"/>
        </w:numPr>
        <w:spacing w:after="60"/>
      </w:pPr>
      <w:r>
        <w:t xml:space="preserve">Eine Audit-Datei pro Batch (Markdown) mit Stand jeder Company und Liste der Zweifelsfaelle.</w:t>
      </w:r>
    </w:p>
    <w:p>
      <w:pPr>
        <w:pStyle w:val="ListParagraph"/>
        <w:numPr>
          <w:ilvl w:val="0"/>
          <w:numId w:val="2"/>
        </w:numPr>
        <w:spacing w:after="60"/>
      </w:pPr>
      <w:r>
        <w:t xml:space="preserve">Git-Commit nach Lews Review-OK, bevorzugt ein Commit pro Batch.</w:t>
      </w:r>
    </w:p>
    <w:p>
      <w:pPr>
        <w:pStyle w:val="Heading2"/>
        <w:spacing w:after="120" w:before="240"/>
      </w:pPr>
      <w:r>
        <w:rPr>
          <w:b/>
          <w:bCs/>
        </w:rPr>
        <w:t xml:space="preserve">11.3  Zweifelsfall — wann Claude an Lew vorlegt</w:t>
      </w:r>
    </w:p>
    <w:p>
      <w:pPr>
        <w:spacing w:after="120"/>
      </w:pPr>
      <w:r>
        <w:t xml:space="preserve">Vier Trigger fuer Vorlage an Lew:</w:t>
      </w:r>
    </w:p>
    <w:p>
      <w:pPr>
        <w:pStyle w:val="ListParagraph"/>
        <w:numPr>
          <w:ilvl w:val="0"/>
          <w:numId w:val="2"/>
        </w:numPr>
        <w:spacing w:after="60"/>
      </w:pPr>
      <w:r>
        <w:t xml:space="preserve">Personen-Identifikation: widersprueche zwischen Quellen ueber Identitaet (z. B. zwei Personen gleichen Namens, ohne Disambiguierungs-Faktoren), oder nur Einzelquelle fuer Schluesselperson.</w:t>
      </w:r>
    </w:p>
    <w:p>
      <w:pPr>
        <w:pStyle w:val="ListParagraph"/>
        <w:numPr>
          <w:ilvl w:val="0"/>
          <w:numId w:val="2"/>
        </w:numPr>
        <w:spacing w:after="60"/>
      </w:pPr>
      <w:r>
        <w:t xml:space="preserve">success/failure-Label: Company ist im Konzeptpapier v0.4 nicht eindeutig im Erfolgs- oder Negativ-Sample (z. B. die 5 Companies mit mittlerer Konfidenz: Aurcana, Gold Mountain, Apollo Gold, Avion Gold, Sulliden Gold).</w:t>
      </w:r>
    </w:p>
    <w:p>
      <w:pPr>
        <w:pStyle w:val="ListParagraph"/>
        <w:numPr>
          <w:ilvl w:val="0"/>
          <w:numId w:val="2"/>
        </w:numPr>
        <w:spacing w:after="60"/>
      </w:pPr>
      <w:r>
        <w:t xml:space="preserve">Schema-Luecke: Datenstruktur passt nicht in v1.2-Schema (z. B. unbekannter event_type, Score-Komponente nicht ableitbar). Eintragung erst nach Schema-Erweiterung.</w:t>
      </w:r>
    </w:p>
    <w:p>
      <w:pPr>
        <w:pStyle w:val="ListParagraph"/>
        <w:numPr>
          <w:ilvl w:val="0"/>
          <w:numId w:val="2"/>
        </w:numPr>
        <w:spacing w:after="60"/>
      </w:pPr>
      <w:r>
        <w:t xml:space="preserve">Score-Komponente uneindeutig: z. B. Peak-MarketCap kann nicht aus Quellen abgeleitet werden, oder M&amp;A-Premium ist ohne historische Kursdaten nicht rekonstruierbar.</w:t>
      </w:r>
    </w:p>
    <w:p>
      <w:pPr>
        <w:pStyle w:val="Heading2"/>
        <w:spacing w:after="120" w:before="240"/>
      </w:pPr>
      <w:r>
        <w:rPr>
          <w:b/>
          <w:bCs/>
        </w:rPr>
        <w:t xml:space="preserve">11.4  Tempo und Kontrolle</w:t>
      </w:r>
    </w:p>
    <w:p>
      <w:pPr>
        <w:spacing w:after="120"/>
      </w:pPr>
      <w:r>
        <w:t xml:space="preserve">Erwartetes Tempo: ca. 5 Companies pro 1 Stunde Live-Session. 49 verbleibende Pilot-Companies lassen sich in 10–12 Stunden ueber mehrere Sessions abarbeiten. Lew reviewt stichprobenartig (z. B. 1 von 5 Companies vertieft) plus alle geflaggten Zweifelsfaelle.</w:t>
      </w:r>
    </w:p>
    <w:p>
      <w:pPr>
        <w:pStyle w:val="Heading1"/>
        <w:spacing w:after="180" w:before="360"/>
      </w:pPr>
      <w:r>
        <w:rPr>
          <w:b/>
          <w:bCs/>
        </w:rPr>
        <w:t xml:space="preserve">12  Event-Vokabel (Stand Schema v1.2)</w:t>
      </w:r>
    </w:p>
    <w:p>
      <w:pPr>
        <w:spacing w:after="120"/>
      </w:pPr>
      <w:r>
        <w:t xml:space="preserve">Erlaubte event_type-Werte:</w:t>
      </w:r>
    </w:p>
    <w:p>
      <w:pPr>
        <w:pStyle w:val="ListParagraph"/>
        <w:numPr>
          <w:ilvl w:val="0"/>
          <w:numId w:val="2"/>
        </w:numPr>
        <w:spacing w:after="60"/>
      </w:pPr>
      <w:r>
        <w:t xml:space="preserve">IPO — Initial Public Offering.</w:t>
      </w:r>
    </w:p>
    <w:p>
      <w:pPr>
        <w:pStyle w:val="ListParagraph"/>
        <w:numPr>
          <w:ilvl w:val="0"/>
          <w:numId w:val="2"/>
        </w:numPr>
        <w:spacing w:after="60"/>
      </w:pPr>
      <w:r>
        <w:t xml:space="preserve">Exchange Upgrade — neuer event_type in v1.2: Wechsel von Junior-Boerse zu Hauptboerse (TSX-V → TSX, ASX Junior → ASX Main). Wichtige Junior-Schwelle wegen Liquiditaet, Index-Eligibility, US-Investoren-Zugang.</w:t>
      </w:r>
    </w:p>
    <w:p>
      <w:pPr>
        <w:pStyle w:val="ListParagraph"/>
        <w:numPr>
          <w:ilvl w:val="0"/>
          <w:numId w:val="2"/>
        </w:numPr>
        <w:spacing w:after="60"/>
      </w:pPr>
      <w:r>
        <w:t xml:space="preserve">Discovery — erste signifikante Mineralisierungs-Identifikation.</w:t>
      </w:r>
    </w:p>
    <w:p>
      <w:pPr>
        <w:pStyle w:val="ListParagraph"/>
        <w:numPr>
          <w:ilvl w:val="0"/>
          <w:numId w:val="2"/>
        </w:numPr>
        <w:spacing w:after="60"/>
      </w:pPr>
      <w:r>
        <w:t xml:space="preserve">Resource Estimate — Veroeffentlichung einer NI 43-101 / JORC Mineral Resource Estimate.</w:t>
      </w:r>
    </w:p>
    <w:p>
      <w:pPr>
        <w:pStyle w:val="ListParagraph"/>
        <w:numPr>
          <w:ilvl w:val="0"/>
          <w:numId w:val="2"/>
        </w:numPr>
        <w:spacing w:after="60"/>
      </w:pPr>
      <w:r>
        <w:t xml:space="preserve">PEA — Preliminary Economic Assessment veroeffentlicht.</w:t>
      </w:r>
    </w:p>
    <w:p>
      <w:pPr>
        <w:pStyle w:val="ListParagraph"/>
        <w:numPr>
          <w:ilvl w:val="0"/>
          <w:numId w:val="2"/>
        </w:numPr>
        <w:spacing w:after="60"/>
      </w:pPr>
      <w:r>
        <w:t xml:space="preserve">PFS — Pre-Feasibility Study veroeffentlicht.</w:t>
      </w:r>
    </w:p>
    <w:p>
      <w:pPr>
        <w:pStyle w:val="ListParagraph"/>
        <w:numPr>
          <w:ilvl w:val="0"/>
          <w:numId w:val="2"/>
        </w:numPr>
        <w:spacing w:after="60"/>
      </w:pPr>
      <w:r>
        <w:t xml:space="preserve">FS — Feasibility Study veroeffentlicht.</w:t>
      </w:r>
    </w:p>
    <w:p>
      <w:pPr>
        <w:pStyle w:val="ListParagraph"/>
        <w:numPr>
          <w:ilvl w:val="0"/>
          <w:numId w:val="2"/>
        </w:numPr>
        <w:spacing w:after="60"/>
      </w:pPr>
      <w:r>
        <w:t xml:space="preserve">Production Start — kommerzielle Produktion aufgenommen.</w:t>
      </w:r>
    </w:p>
    <w:p>
      <w:pPr>
        <w:pStyle w:val="ListParagraph"/>
        <w:numPr>
          <w:ilvl w:val="0"/>
          <w:numId w:val="2"/>
        </w:numPr>
        <w:spacing w:after="60"/>
      </w:pPr>
      <w:r>
        <w:t xml:space="preserve">M&amp;A — Akquisition oder Merger (Ankuendigung und Closing als separate event-Zeilen).</w:t>
      </w:r>
    </w:p>
    <w:p>
      <w:pPr>
        <w:pStyle w:val="ListParagraph"/>
        <w:numPr>
          <w:ilvl w:val="0"/>
          <w:numId w:val="2"/>
        </w:numPr>
        <w:spacing w:after="60"/>
      </w:pPr>
      <w:r>
        <w:t xml:space="preserve">Industry Award — geaendert von 'PDAC Award' in v1.2. Konvention: die konkrete Award-Bezeichnung wird in description genannt (z. B. 'PDAC Thayer Lindsley International Discovery', 'PDAC Bill Dennis Discovery', 'TNM Mining Person of the Year', 'PDAC Viola MacMillan'). Generischer Bucket mit praeziser Sub-Spezifikation.</w:t>
      </w:r>
    </w:p>
    <w:p>
      <w:pPr>
        <w:pStyle w:val="ListParagraph"/>
        <w:numPr>
          <w:ilvl w:val="0"/>
          <w:numId w:val="2"/>
        </w:numPr>
        <w:spacing w:after="60"/>
      </w:pPr>
      <w:r>
        <w:t xml:space="preserve">Insolvency — Konkurs-Antrag, CCAA-Filing, Chapter-11-Aequivalente.</w:t>
      </w:r>
    </w:p>
    <w:p>
      <w:pPr>
        <w:pStyle w:val="ListParagraph"/>
        <w:numPr>
          <w:ilvl w:val="0"/>
          <w:numId w:val="2"/>
        </w:numPr>
        <w:spacing w:after="60"/>
      </w:pPr>
      <w:r>
        <w:t xml:space="preserve">Delisting — Streichung von der Boerse (durch Akquisition oder durch Wertverlust).</w:t>
      </w:r>
    </w:p>
    <w:p>
      <w:pPr>
        <w:spacing w:after="120" w:before="360"/>
      </w:pPr>
      <w:r>
        <w:rPr>
          <w:i/>
          <w:iCs/>
        </w:rPr>
        <w:t xml:space="preserve">Versionshinweis: Dies ist v0.2 des Workflow-Dokuments. v0.1 entstand am 2026-05-14 und wurde nach Erfassung des ersten Matched-Pair-Erfolgs-Eintrags (Aurelian) ueberarbeitet. Die neun methodischen Notiz-Punkte aus docs/260514 Workflow v0.2 Aenderungsnotizen.md sind in dieser Version konsolidiert. Weitere Iteration nach Eingabe der naechsten 5 Matched Pairs im Pipeline-Modus vorgesehen.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2026-05-15T06:23:02.120Z</dcterms:created>
  <dcterms:modified xsi:type="dcterms:W3CDTF">2026-05-15T06:23:02.125Z</dcterms:modified>
</cp:coreProperties>
</file>

<file path=docProps/custom.xml><?xml version="1.0" encoding="utf-8"?>
<Properties xmlns="http://schemas.openxmlformats.org/officeDocument/2006/custom-properties" xmlns:vt="http://schemas.openxmlformats.org/officeDocument/2006/docPropsVTypes"/>
</file>