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12E81"/>
        </w:rPr>
        <w:t>Remote and Hybrid Work Policy 2026</w:t>
      </w:r>
    </w:p>
    <w:p>
      <w:r>
        <w:t>Company: Acme Global Enterprise | Document Version: 2.4 (2026)</w:t>
      </w:r>
    </w:p>
    <w:p>
      <w:r>
        <w:t>This policy defines the standards, eligibility criteria, and expectations for employees working in remote and hybrid arrangements.</w:t>
      </w:r>
    </w:p>
    <w:p>
      <w:pPr>
        <w:pStyle w:val="Heading1"/>
      </w:pPr>
      <w:r>
        <w:t>1. Eligibility and Work Models</w:t>
      </w:r>
    </w:p>
    <w:p>
      <w:r>
        <w:t>Employees whose roles do not require physical presence on company premises may be eligible for hybrid or full remote arrangements, subject to department head approval and sustained satisfactory performance evaluations.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Onsite Days</w:t>
            </w:r>
          </w:p>
        </w:tc>
        <w:tc>
          <w:tcPr>
            <w:tcW w:type="dxa" w:w="2880"/>
          </w:tcPr>
          <w:p>
            <w:r>
              <w:t>Eligible Roles</w:t>
            </w:r>
          </w:p>
        </w:tc>
      </w:tr>
      <w:tr>
        <w:tc>
          <w:tcPr>
            <w:tcW w:type="dxa" w:w="2880"/>
          </w:tcPr>
          <w:p>
            <w:r>
              <w:t>Hybrid (Standard)</w:t>
            </w:r>
          </w:p>
        </w:tc>
        <w:tc>
          <w:tcPr>
            <w:tcW w:type="dxa" w:w="2880"/>
          </w:tcPr>
          <w:p>
            <w:r>
              <w:t>2 - 3 Days / Week</w:t>
            </w:r>
          </w:p>
        </w:tc>
        <w:tc>
          <w:tcPr>
            <w:tcW w:type="dxa" w:w="2880"/>
          </w:tcPr>
          <w:p>
            <w:r>
              <w:t>General Engineering, Marketing, Finance</w:t>
            </w:r>
          </w:p>
        </w:tc>
      </w:tr>
      <w:tr>
        <w:tc>
          <w:tcPr>
            <w:tcW w:type="dxa" w:w="2880"/>
          </w:tcPr>
          <w:p>
            <w:r>
              <w:t>Fully Remote</w:t>
            </w:r>
          </w:p>
        </w:tc>
        <w:tc>
          <w:tcPr>
            <w:tcW w:type="dxa" w:w="2880"/>
          </w:tcPr>
          <w:p>
            <w:r>
              <w:t>0 Days (Quarterly offsites)</w:t>
            </w:r>
          </w:p>
        </w:tc>
        <w:tc>
          <w:tcPr>
            <w:tcW w:type="dxa" w:w="2880"/>
          </w:tcPr>
          <w:p>
            <w:r>
              <w:t>Designated Distributed Teams</w:t>
            </w:r>
          </w:p>
        </w:tc>
      </w:tr>
      <w:tr>
        <w:tc>
          <w:tcPr>
            <w:tcW w:type="dxa" w:w="2880"/>
          </w:tcPr>
          <w:p>
            <w:r>
              <w:t>Onsite Priority</w:t>
            </w:r>
          </w:p>
        </w:tc>
        <w:tc>
          <w:tcPr>
            <w:tcW w:type="dxa" w:w="2880"/>
          </w:tcPr>
          <w:p>
            <w:r>
              <w:t>5 Days / Week</w:t>
            </w:r>
          </w:p>
        </w:tc>
        <w:tc>
          <w:tcPr>
            <w:tcW w:type="dxa" w:w="2880"/>
          </w:tcPr>
          <w:p>
            <w:r>
              <w:t>Facilities, Hardware Labs, Office Operations</w:t>
            </w:r>
          </w:p>
        </w:tc>
      </w:tr>
    </w:tbl>
    <w:p>
      <w:pPr>
        <w:pStyle w:val="Heading1"/>
      </w:pPr>
      <w:r>
        <w:t>2. Core Working Hours and Availability</w:t>
      </w:r>
    </w:p>
    <w:p>
      <w:r>
        <w:t>To ensure seamless cross-functional collaboration, all remote and hybrid employees must be available and reachable during core collaboration hours between 10:00 AM and 4:00 PM in their designated primary time zone. Team members must maintain an updated Slack status and responsive calendar.</w:t>
      </w:r>
    </w:p>
    <w:p>
      <w:pPr>
        <w:pStyle w:val="Heading1"/>
      </w:pPr>
      <w:r>
        <w:t>3. Home Office Stipend and Ergonomic Equipment</w:t>
      </w:r>
    </w:p>
    <w:p>
      <w:r>
        <w:t>Eligible full-time remote and hybrid employees receive a one-time reimbursement of up to $500 for ergonomic office furniture, monitors, keyboards, or desk setups. Additionally, employees receive a recurring monthly allowance of $50 toward high-speed home internet service. All expense claims must be filed through Expensify within 45 days of purchase.</w:t>
      </w:r>
    </w:p>
    <w:p>
      <w:pPr>
        <w:pStyle w:val="Heading1"/>
      </w:pPr>
      <w:r>
        <w:t>4. Cybersecurity and Information Protection</w:t>
      </w:r>
    </w:p>
    <w:p>
      <w:r>
        <w:t>Remote staff must strictly adhere to Acme Global's Security Baseline. Company-issued laptops must use full-disk encryption, passwords must comply with MFA requirements, and connecting to company resources from unsecured public Wi-Fi without the Corporate VPN is strictly forbidden. Confidential documents must never be printed on unauthorized home printers.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