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sz w:val="30"/>
          <w:szCs w:val="30"/>
        </w:rPr>
        <w:t xml:space="preserve">Project Design Phase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Solution Architecture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4800"/>
          </w:tcPr>
          <w:p>
            <w:r>
              <w:t xml:space="preserve">15 February 2025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4800"/>
          </w:tcPr>
          <w:p>
            <w:r>
              <w:t xml:space="preserve">Team-BMS-2025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4800"/>
          </w:tcPr>
          <w:p>
            <w:r>
              <w:t xml:space="preserve">Bookstore Management System (MERN Stack)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4800"/>
          </w:tcPr>
          <w:p>
            <w:r>
              <w:t xml:space="preserve">4 Marks</w:t>
            </w:r>
          </w:p>
        </w:tc>
      </w:tr>
    </w:tbl>
    <w:p>
      <w:pPr>
        <w:spacing w:after="180"/>
      </w:pPr>
    </w:p>
    <w:p>
      <w:pPr>
        <w:pStyle w:val="Heading1"/>
        <w:spacing w:after="130" w:before="260"/>
      </w:pPr>
      <w:r>
        <w:rPr>
          <w:b/>
          <w:bCs/>
          <w:color w:val="1F3864"/>
          <w:sz w:val="28"/>
          <w:szCs w:val="28"/>
        </w:rPr>
        <w:t xml:space="preserve">Solution Architecture</w:t>
      </w:r>
    </w:p>
    <w:p>
      <w:pPr>
        <w:spacing w:after="100"/>
      </w:pPr>
      <w:r>
        <w:rPr>
          <w:sz w:val="21"/>
          <w:szCs w:val="21"/>
        </w:rPr>
        <w:t xml:space="preserve">Solution architecture bridges the gap between the Bookstore Management System's business requirements and its technical implementation. For this project, 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Identifies the MERN-stack technologies best suited to solving book discovery, purchasing, and inventory-management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Describes the structure and behaviour of the system for customers, organizers, and administrators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Defines the services, data flow, and external integrations needed to deliver the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Provides a blueprint the development team follows when building and deploying the solution</w:t>
      </w:r>
    </w:p>
    <w:p>
      <w:pPr>
        <w:spacing w:after="100"/>
      </w:pPr>
    </w:p>
    <w:p>
      <w:pPr>
        <w:pStyle w:val="Heading2"/>
        <w:spacing w:after="100" w:before="100"/>
      </w:pPr>
      <w:r>
        <w:rPr>
          <w:b/>
          <w:bCs/>
          <w:color w:val="2E5395"/>
          <w:sz w:val="24"/>
          <w:szCs w:val="24"/>
        </w:rPr>
        <w:t xml:space="preserve">Solution Architecture Diagram</w:t>
      </w:r>
    </w:p>
    <w:p>
      <w:pPr>
        <w:spacing w:after="100" w:before="100"/>
        <w:jc w:val="center"/>
      </w:pPr>
      <w:r>
        <w:drawing>
          <wp:inline distT="0" distB="0" distL="0" distR="0">
            <wp:extent cx="9553575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35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Figure 1: Architecture and data flow of the Bookstore Management System</w:t>
      </w:r>
    </w:p>
    <w:p>
      <w:pPr>
        <w:pStyle w:val="Heading1"/>
        <w:spacing w:after="130" w:before="260"/>
      </w:pPr>
      <w:r>
        <w:rPr>
          <w:b/>
          <w:bCs/>
          <w:color w:val="1F3864"/>
          <w:sz w:val="28"/>
          <w:szCs w:val="28"/>
        </w:rPr>
        <w:t xml:space="preserve">Data Flow Description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Customer or organizer interacts with the React.js SPA to search/browse books or manage listings.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SPA sends an HTTPS request to the Express.js REST API gateway.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gateway verifies the user's JWT via the Auth Service before processing protected requests.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Book search/browse requests are routed to the Catalog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Catalog Service reads/writes book data in MongoDB Atlas and fetches cover images from Cloud File Storage.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Checkout/order requests are routed to the Order &amp; Inventory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Order &amp; Inventory Service saves the order and updates stock levels in MongoDB Atlas.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payment request is sent to the external Payment Gateway (Razorpay/Stripe).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Payment Gateway confirms successful payment back to the Order &amp; Inventory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confirmation is dispatched through the Email/OTP Service.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customer receives an email/OTP order confirmation.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organizer receives a new-order alert so they can process fulfilment.</w:t>
      </w:r>
    </w:p>
    <w:p>
      <w:pPr>
        <w:spacing w:after="150"/>
      </w:pPr>
    </w:p>
    <w:p>
      <w:pPr>
        <w:spacing w:after="60"/>
      </w:pPr>
      <w:r>
        <w:rPr>
          <w:b/>
          <w:bCs/>
          <w:sz w:val="19"/>
          <w:szCs w:val="19"/>
        </w:rPr>
        <w:t xml:space="preserve">Reference: </w:t>
      </w:r>
      <w:r>
        <w:rPr>
          <w:color w:val="1155CC"/>
          <w:sz w:val="19"/>
          <w:szCs w:val="19"/>
        </w:rPr>
        <w:t xml:space="preserve">https://aws.amazon.com/blogs/industries/voice-applications-in-clinical-research-powered-by-ai-on-aws-part-1-architecture-and-design-considerations/</w:t>
      </w:r>
    </w:p>
    <w:sectPr>
      <w:pgSz w:w="16838" w:h="11906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563eb9881ac90441688387e4efa987fe42e8ed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2026-07-19T09:34:40.674Z</dcterms:created>
  <dcterms:modified xsi:type="dcterms:W3CDTF">2026-07-19T09:34:40.686Z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