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948C36">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Project Design Phase</w:t>
      </w:r>
    </w:p>
    <w:p w14:paraId="46D3FE3C">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Proposed Solution Template</w:t>
      </w:r>
    </w:p>
    <w:p w14:paraId="4DCD1F22">
      <w:pPr>
        <w:pStyle w:val="style0"/>
        <w:spacing w:lineRule="auto" w:line="259"/>
        <w:jc w:val="center"/>
        <w:rPr>
          <w:rFonts w:ascii="Calibri" w:cs="Calibri" w:eastAsia="Calibri" w:hAnsi="Calibri"/>
          <w:b/>
          <w:bCs/>
        </w:rPr>
      </w:pPr>
    </w:p>
    <w:tbl>
      <w:tblPr>
        <w:tblStyle w:val="style4098"/>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14:paraId="6DA56BD6">
        <w:trPr/>
        <w:tc>
          <w:tcPr>
            <w:tcW w:w="4695" w:type="dxa"/>
            <w:tcBorders/>
          </w:tcPr>
          <w:p w14:paraId="5130454D">
            <w:pPr>
              <w:pStyle w:val="style0"/>
              <w:rPr>
                <w:rFonts w:ascii="Calibri" w:cs="Calibri" w:eastAsia="Calibri" w:hAnsi="Calibri"/>
              </w:rPr>
            </w:pPr>
            <w:r>
              <w:rPr>
                <w:rFonts w:ascii="Calibri" w:cs="Calibri" w:eastAsia="Calibri" w:hAnsi="Calibri"/>
              </w:rPr>
              <w:t>Date</w:t>
            </w:r>
          </w:p>
        </w:tc>
        <w:tc>
          <w:tcPr>
            <w:tcW w:w="4335" w:type="dxa"/>
            <w:tcBorders/>
          </w:tcPr>
          <w:p w14:paraId="43DF6EAB">
            <w:pPr>
              <w:pStyle w:val="style0"/>
              <w:rPr>
                <w:rFonts w:ascii="Calibri" w:cs="Calibri" w:eastAsia="Calibri" w:hAnsi="Calibri"/>
              </w:rPr>
            </w:pPr>
            <w:r>
              <w:rPr>
                <w:rFonts w:ascii="Calibri" w:cs="Calibri" w:eastAsia="Calibri" w:hAnsi="Calibri"/>
                <w:lang w:val="en-US"/>
              </w:rPr>
              <w:t>28 June 2026</w:t>
            </w:r>
          </w:p>
        </w:tc>
      </w:tr>
      <w:tr w14:paraId="54404033">
        <w:tblPrEx/>
        <w:trPr/>
        <w:tc>
          <w:tcPr>
            <w:tcW w:w="4695" w:type="dxa"/>
            <w:tcBorders/>
          </w:tcPr>
          <w:p w14:paraId="7E26E926">
            <w:pPr>
              <w:pStyle w:val="style0"/>
              <w:rPr>
                <w:rFonts w:ascii="Calibri" w:cs="Calibri" w:eastAsia="Calibri" w:hAnsi="Calibri"/>
              </w:rPr>
            </w:pPr>
            <w:r>
              <w:rPr>
                <w:rFonts w:ascii="Calibri" w:cs="Calibri" w:eastAsia="Calibri" w:hAnsi="Calibri"/>
                <w:lang w:val="en-US"/>
              </w:rPr>
              <w:t xml:space="preserve">Student Roll Number </w:t>
            </w:r>
          </w:p>
        </w:tc>
        <w:tc>
          <w:tcPr>
            <w:tcW w:w="4335" w:type="dxa"/>
            <w:tcBorders/>
          </w:tcPr>
          <w:p w14:paraId="35CB531D">
            <w:pPr>
              <w:pStyle w:val="style0"/>
              <w:rPr>
                <w:rFonts w:ascii="Calibri" w:cs="Calibri" w:eastAsia="Calibri" w:hAnsi="Calibri"/>
              </w:rPr>
            </w:pPr>
            <w:r>
              <w:rPr>
                <w:rFonts w:ascii="Calibri" w:cs="Calibri" w:eastAsia="Calibri" w:hAnsi="Calibri"/>
                <w:lang w:val="en-US"/>
              </w:rPr>
              <w:t xml:space="preserve">23A51A0529 </w:t>
            </w:r>
          </w:p>
        </w:tc>
      </w:tr>
      <w:tr w14:paraId="1738B659">
        <w:tblPrEx/>
        <w:trPr/>
        <w:tc>
          <w:tcPr>
            <w:tcW w:w="4695" w:type="dxa"/>
            <w:tcBorders/>
          </w:tcPr>
          <w:p w14:paraId="3FEBB500">
            <w:pPr>
              <w:pStyle w:val="style0"/>
              <w:rPr>
                <w:rFonts w:ascii="Calibri" w:cs="Calibri" w:eastAsia="Calibri" w:hAnsi="Calibri"/>
              </w:rPr>
            </w:pPr>
            <w:r>
              <w:rPr>
                <w:rFonts w:ascii="Calibri" w:cs="Calibri" w:eastAsia="Calibri" w:hAnsi="Calibri"/>
              </w:rPr>
              <w:t>Project Name</w:t>
            </w:r>
          </w:p>
        </w:tc>
        <w:tc>
          <w:tcPr>
            <w:tcW w:w="4335" w:type="dxa"/>
            <w:tcBorders/>
          </w:tcPr>
          <w:p w14:paraId="508B9DFC">
            <w:pPr>
              <w:pStyle w:val="style0"/>
              <w:rPr>
                <w:rFonts w:ascii="Calibri" w:cs="Calibri" w:eastAsia="Calibri" w:hAnsi="Calibri"/>
              </w:rPr>
            </w:pPr>
            <w:r>
              <w:rPr>
                <w:rFonts w:ascii="Calibri" w:cs="Calibri" w:eastAsia="Calibri" w:hAnsi="Calibri"/>
              </w:rPr>
              <w:t>Automated network request management</w:t>
            </w:r>
          </w:p>
        </w:tc>
      </w:tr>
      <w:tr w14:paraId="125D8EE0">
        <w:tblPrEx/>
        <w:trPr/>
        <w:tc>
          <w:tcPr>
            <w:tcW w:w="4695" w:type="dxa"/>
            <w:tcBorders/>
          </w:tcPr>
          <w:p w14:paraId="75B83A16">
            <w:pPr>
              <w:pStyle w:val="style0"/>
              <w:rPr>
                <w:rFonts w:ascii="Calibri" w:cs="Calibri" w:eastAsia="Calibri" w:hAnsi="Calibri"/>
              </w:rPr>
            </w:pPr>
            <w:r>
              <w:rPr>
                <w:rFonts w:ascii="Calibri" w:cs="Calibri" w:eastAsia="Calibri" w:hAnsi="Calibri"/>
              </w:rPr>
              <w:t>Maximum Marks</w:t>
            </w:r>
          </w:p>
        </w:tc>
        <w:tc>
          <w:tcPr>
            <w:tcW w:w="4335" w:type="dxa"/>
            <w:tcBorders/>
          </w:tcPr>
          <w:p w14:paraId="37996251">
            <w:pPr>
              <w:pStyle w:val="style0"/>
              <w:rPr>
                <w:rFonts w:ascii="Calibri" w:cs="Calibri" w:eastAsia="Calibri" w:hAnsi="Calibri"/>
              </w:rPr>
            </w:pPr>
            <w:r>
              <w:rPr>
                <w:rFonts w:ascii="Calibri" w:cs="Calibri" w:eastAsia="Calibri" w:hAnsi="Calibri"/>
              </w:rPr>
              <w:t>2 Marks</w:t>
            </w:r>
          </w:p>
        </w:tc>
      </w:tr>
    </w:tbl>
    <w:p w14:paraId="2A3EEBDC">
      <w:pPr>
        <w:pStyle w:val="style0"/>
        <w:spacing w:after="160" w:lineRule="auto" w:line="259"/>
        <w:rPr/>
      </w:pPr>
    </w:p>
    <w:bookmarkStart w:id="0" w:name="_9d4lvp3xitsc" w:colFirst="0" w:colLast="0"/>
    <w:bookmarkEnd w:id="0"/>
    <w:p w14:paraId="4AEB3183">
      <w:pPr>
        <w:pStyle w:val="style3"/>
        <w:keepNext w:val="false"/>
        <w:keepLines w:val="false"/>
        <w:spacing w:before="280" w:lineRule="auto" w:line="259"/>
        <w:rPr>
          <w:b/>
          <w:bCs/>
          <w:color w:val="000000"/>
          <w:sz w:val="22"/>
          <w:szCs w:val="22"/>
        </w:rPr>
      </w:pPr>
      <w:r>
        <w:rPr>
          <w:b/>
          <w:bCs/>
          <w:color w:val="000000"/>
          <w:sz w:val="22"/>
          <w:szCs w:val="22"/>
        </w:rPr>
        <w:t>Proposed Solution</w:t>
      </w:r>
    </w:p>
    <w:p w14:paraId="3BD73938">
      <w:pPr>
        <w:pStyle w:val="style0"/>
        <w:spacing w:before="240" w:after="240" w:lineRule="auto" w:line="259"/>
        <w:rPr/>
      </w:pPr>
      <w:r>
        <w:t xml:space="preserve">The </w:t>
      </w:r>
      <w:r>
        <w:rPr>
          <w:b/>
          <w:bCs/>
        </w:rPr>
        <w:t>Automated Network Request Management in ServiceNow</w:t>
      </w:r>
      <w:r>
        <w:t xml:space="preserve"> project automates the complete network request process using </w:t>
      </w:r>
      <w:r>
        <w:rPr>
          <w:b/>
          <w:bCs/>
        </w:rPr>
        <w:t>ServiceNow Service Catalog</w:t>
      </w:r>
      <w:r>
        <w:t xml:space="preserve">, </w:t>
      </w:r>
      <w:r>
        <w:rPr>
          <w:b/>
          <w:bCs/>
        </w:rPr>
        <w:t>Flow Designer</w:t>
      </w:r>
      <w:r>
        <w:t xml:space="preserve">, and </w:t>
      </w:r>
      <w:r>
        <w:rPr>
          <w:b/>
          <w:bCs/>
        </w:rPr>
        <w:t>Approval Workflows</w:t>
      </w:r>
      <w:r>
        <w:t>. Users can submit requests through a self-service portal, and the system automatically routes them for approval, creates records, updates request status, and sends email notifications. This solution reduces manual effort, speeds up request processing, improves transparency, and enhances overall IT service efficiency.</w:t>
      </w:r>
    </w:p>
    <w:bookmarkStart w:id="1" w:name="_5ld8cmojbrf7" w:colFirst="0" w:colLast="0"/>
    <w:bookmarkEnd w:id="1"/>
    <w:p w14:paraId="4ABAEFE3">
      <w:pPr>
        <w:pStyle w:val="style3"/>
        <w:keepNext w:val="false"/>
        <w:keepLines w:val="false"/>
        <w:spacing w:before="280" w:lineRule="auto" w:line="259"/>
        <w:rPr>
          <w:b/>
          <w:bCs/>
          <w:color w:val="000000"/>
          <w:sz w:val="22"/>
          <w:szCs w:val="22"/>
        </w:rPr>
      </w:pPr>
      <w:r>
        <w:rPr>
          <w:b/>
          <w:bCs/>
          <w:color w:val="000000"/>
          <w:sz w:val="22"/>
          <w:szCs w:val="22"/>
        </w:rPr>
        <w:t>Objectives</w:t>
      </w:r>
    </w:p>
    <w:p w14:paraId="0091A971">
      <w:pPr>
        <w:pStyle w:val="style0"/>
        <w:numPr>
          <w:ilvl w:val="0"/>
          <w:numId w:val="1"/>
        </w:numPr>
        <w:spacing w:before="240" w:lineRule="auto" w:line="259"/>
        <w:rPr/>
      </w:pPr>
      <w:r>
        <w:t>Automate network request processing.</w:t>
      </w:r>
    </w:p>
    <w:p w14:paraId="6F1DFC96">
      <w:pPr>
        <w:pStyle w:val="style0"/>
        <w:numPr>
          <w:ilvl w:val="0"/>
          <w:numId w:val="1"/>
        </w:numPr>
        <w:spacing w:lineRule="auto" w:line="259"/>
        <w:rPr/>
      </w:pPr>
      <w:r>
        <w:t>Reduce manual work and delays.</w:t>
      </w:r>
    </w:p>
    <w:p w14:paraId="6C6FEA98">
      <w:pPr>
        <w:pStyle w:val="style0"/>
        <w:numPr>
          <w:ilvl w:val="0"/>
          <w:numId w:val="1"/>
        </w:numPr>
        <w:spacing w:lineRule="auto" w:line="259"/>
        <w:rPr/>
      </w:pPr>
      <w:r>
        <w:t>Improve request tracking.</w:t>
      </w:r>
    </w:p>
    <w:p w14:paraId="1C87C860">
      <w:pPr>
        <w:pStyle w:val="style0"/>
        <w:numPr>
          <w:ilvl w:val="0"/>
          <w:numId w:val="1"/>
        </w:numPr>
        <w:spacing w:after="240" w:lineRule="auto" w:line="259"/>
        <w:rPr/>
      </w:pPr>
      <w:r>
        <w:t>Enhance user satisfaction.</w:t>
      </w:r>
    </w:p>
    <w:bookmarkStart w:id="2" w:name="_yz8ry5oy7h5e" w:colFirst="0" w:colLast="0"/>
    <w:bookmarkEnd w:id="2"/>
    <w:p w14:paraId="201EC7CB">
      <w:pPr>
        <w:pStyle w:val="style3"/>
        <w:keepNext w:val="false"/>
        <w:keepLines w:val="false"/>
        <w:spacing w:before="280" w:lineRule="auto" w:line="259"/>
        <w:rPr>
          <w:b/>
          <w:bCs/>
          <w:color w:val="000000"/>
          <w:sz w:val="22"/>
          <w:szCs w:val="22"/>
        </w:rPr>
      </w:pPr>
      <w:r>
        <w:rPr>
          <w:b/>
          <w:bCs/>
          <w:color w:val="000000"/>
          <w:sz w:val="22"/>
          <w:szCs w:val="22"/>
        </w:rPr>
        <w:t>Key Features</w:t>
      </w:r>
    </w:p>
    <w:p w14:paraId="57E38412">
      <w:pPr>
        <w:pStyle w:val="style0"/>
        <w:numPr>
          <w:ilvl w:val="0"/>
          <w:numId w:val="2"/>
        </w:numPr>
        <w:spacing w:before="240" w:lineRule="auto" w:line="259"/>
        <w:rPr/>
      </w:pPr>
      <w:r>
        <w:t>Service Catalog</w:t>
      </w:r>
    </w:p>
    <w:p w14:paraId="4E4E91C3">
      <w:pPr>
        <w:pStyle w:val="style0"/>
        <w:numPr>
          <w:ilvl w:val="0"/>
          <w:numId w:val="2"/>
        </w:numPr>
        <w:spacing w:lineRule="auto" w:line="259"/>
        <w:rPr/>
      </w:pPr>
      <w:r>
        <w:t>Automated Approval Workflow</w:t>
      </w:r>
    </w:p>
    <w:p w14:paraId="373ABCE8">
      <w:pPr>
        <w:pStyle w:val="style0"/>
        <w:numPr>
          <w:ilvl w:val="0"/>
          <w:numId w:val="2"/>
        </w:numPr>
        <w:spacing w:lineRule="auto" w:line="259"/>
        <w:rPr/>
      </w:pPr>
      <w:r>
        <w:t>Flow Designer</w:t>
      </w:r>
    </w:p>
    <w:p w14:paraId="636DECAA">
      <w:pPr>
        <w:pStyle w:val="style0"/>
        <w:numPr>
          <w:ilvl w:val="0"/>
          <w:numId w:val="2"/>
        </w:numPr>
        <w:spacing w:lineRule="auto" w:line="259"/>
        <w:rPr/>
      </w:pPr>
      <w:r>
        <w:t>Email Notifications</w:t>
      </w:r>
    </w:p>
    <w:p w14:paraId="0B1D348A">
      <w:pPr>
        <w:pStyle w:val="style0"/>
        <w:numPr>
          <w:ilvl w:val="0"/>
          <w:numId w:val="2"/>
        </w:numPr>
        <w:spacing w:after="240" w:lineRule="auto" w:line="259"/>
        <w:rPr/>
      </w:pPr>
      <w:r>
        <w:t>Request Tracking</w:t>
      </w:r>
    </w:p>
    <w:bookmarkStart w:id="3" w:name="_8opm2zqu6liy" w:colFirst="0" w:colLast="0"/>
    <w:bookmarkEnd w:id="3"/>
    <w:p w14:paraId="7A75527E">
      <w:pPr>
        <w:pStyle w:val="style3"/>
        <w:keepNext w:val="false"/>
        <w:keepLines w:val="false"/>
        <w:spacing w:before="280" w:lineRule="auto" w:line="259"/>
        <w:rPr>
          <w:b/>
          <w:bCs/>
          <w:color w:val="000000"/>
          <w:sz w:val="22"/>
          <w:szCs w:val="22"/>
        </w:rPr>
      </w:pPr>
      <w:r>
        <w:rPr>
          <w:b/>
          <w:bCs/>
          <w:color w:val="000000"/>
          <w:sz w:val="22"/>
          <w:szCs w:val="22"/>
        </w:rPr>
        <w:t>Expected Benefits</w:t>
      </w:r>
    </w:p>
    <w:p w14:paraId="01EAAD1B">
      <w:pPr>
        <w:pStyle w:val="style0"/>
        <w:numPr>
          <w:ilvl w:val="0"/>
          <w:numId w:val="3"/>
        </w:numPr>
        <w:spacing w:before="240" w:lineRule="auto" w:line="259"/>
        <w:rPr/>
      </w:pPr>
      <w:r>
        <w:t>Faster request processing</w:t>
      </w:r>
    </w:p>
    <w:p w14:paraId="22FF85B4">
      <w:pPr>
        <w:pStyle w:val="style0"/>
        <w:numPr>
          <w:ilvl w:val="0"/>
          <w:numId w:val="3"/>
        </w:numPr>
        <w:spacing w:lineRule="auto" w:line="259"/>
        <w:rPr/>
      </w:pPr>
      <w:r>
        <w:t>Improved efficiency</w:t>
      </w:r>
    </w:p>
    <w:p w14:paraId="3FB91A44">
      <w:pPr>
        <w:pStyle w:val="style0"/>
        <w:numPr>
          <w:ilvl w:val="0"/>
          <w:numId w:val="3"/>
        </w:numPr>
        <w:spacing w:lineRule="auto" w:line="259"/>
        <w:rPr/>
      </w:pPr>
      <w:r>
        <w:t>Better transparency</w:t>
      </w:r>
    </w:p>
    <w:p w14:paraId="3B31854F">
      <w:pPr>
        <w:pStyle w:val="style0"/>
        <w:numPr>
          <w:ilvl w:val="0"/>
          <w:numId w:val="3"/>
        </w:numPr>
        <w:spacing w:lineRule="auto" w:line="259"/>
        <w:rPr/>
      </w:pPr>
      <w:r>
        <w:t>Reduced manual errors</w:t>
      </w:r>
    </w:p>
    <w:p w14:paraId="75D40309">
      <w:pPr>
        <w:pStyle w:val="style0"/>
        <w:numPr>
          <w:ilvl w:val="0"/>
          <w:numId w:val="3"/>
        </w:numPr>
        <w:spacing w:after="240" w:lineRule="auto" w:line="259"/>
        <w:rPr/>
      </w:pPr>
      <w:r>
        <w:t>Enhanced SLA compliance</w:t>
      </w:r>
    </w:p>
    <w:p w14:paraId="61855A37">
      <w:pPr>
        <w:pStyle w:val="style0"/>
        <w:spacing w:after="160" w:lineRule="auto" w:line="259"/>
        <w:rPr/>
      </w:pPr>
    </w:p>
    <w:p w14:paraId="53E2EA30">
      <w:pPr>
        <w:pStyle w:val="style0"/>
        <w:spacing w:after="160" w:lineRule="auto" w:line="259"/>
        <w:rPr/>
      </w:pPr>
      <w:r>
        <w:rPr>
          <w:noProof/>
        </w:rPr>
        <w:drawing>
          <wp:inline distL="0" distT="0" distB="0" distR="0">
            <wp:extent cx="5731200" cy="7391399"/>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1200" cy="7391399"/>
                    </a:xfrm>
                    <a:prstGeom prst="rect"/>
                    <a:ln cmpd="sng" cap="flat" w="9525">
                      <a:solidFill>
                        <a:srgbClr val="000000"/>
                      </a:solidFill>
                      <a:prstDash val="solid"/>
                      <a:round/>
                      <a:headEnd/>
                      <a:tailEnd/>
                    </a:ln>
                  </pic:spPr>
                </pic:pic>
              </a:graphicData>
            </a:graphic>
          </wp:inline>
        </w:drawing>
      </w:r>
    </w:p>
    <w:sectPr>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D869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55DEA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9678F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table" w:customStyle="1" w:styleId="style4098">
    <w:basedOn w:val="style4097"/>
    <w:next w:val="style4098"/>
    <w:pPr>
      <w:spacing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135</Words>
  <Pages>2</Pages>
  <Characters>923</Characters>
  <Application>WPS Office</Application>
  <DocSecurity>0</DocSecurity>
  <Paragraphs>37</Paragraphs>
  <ScaleCrop>false</ScaleCrop>
  <LinksUpToDate>false</LinksUpToDate>
  <CharactersWithSpaces>1031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2026-06-29T15:36:00Z</dcterms:created>
  <dc:creator>WPS Office</dc:creator>
  <lastModifiedBy>RMX3741</lastModifiedBy>
  <dcterms:modified xsi:type="dcterms:W3CDTF">2026-06-29T16:19:54Z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e17f96e867aa4b91a8063cf7641f6cf8</vt:lpwstr>
  </property>
</Properties>
</file>