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FORM 海外竞品调研与产品升级方案</w:t>
      </w:r>
    </w:p>
    <w:p>
      <w:pPr>
        <w:pStyle w:val="Subtitle"/>
      </w:pPr>
      <w:r>
        <w:t>从风格演示，到可控且值得付费的汽车创作体验</w:t>
      </w:r>
    </w:p>
    <w:p>
      <w:pPr>
        <w:spacing w:after="220" w:line="276" w:lineRule="auto"/>
      </w:pPr>
      <w:r>
        <w:rPr>
          <w:color w:val="596771"/>
          <w:sz w:val="18"/>
        </w:rPr>
        <w:t>研究日期：2026-10-11 ｜ 主要市场：美区 App Store，补查英国与澳大利亚 ｜ 代码基线：3df0b392f4c81364a34d5083dc75284eafbe2eb1</w:t>
      </w:r>
    </w:p>
    <w:p>
      <w:pPr>
        <w:pStyle w:val="Heading1"/>
      </w:pPr>
      <w:r>
        <w:t>01 决策摘要</w:t>
      </w:r>
    </w:p>
    <w:p>
      <w:r>
        <w:rPr>
          <w:b/>
        </w:rPr>
        <w:t>建议定位：面向普通车主的个人汽车造型工作室。先帮用户找到喜欢的整体方向，再准确修改一两处，最后留下可比较、可继续、可分享的个人方案。</w:t>
      </w:r>
    </w:p>
    <w:p>
      <w:r>
        <w:t>不要以“功能最多”作为首发目标。优先验证“有明显变化、仍是自己的车、修改没有乱动其他地方”三件事。案例先行、第一次一张、确认后生成、历史不覆盖等现有原则值得保留。现有仓库已经有任务、版本、草稿、比较、导出与内部额度账本；真实模型质量、支付及生产账号体系仍是下一阶段建设对象。[R01]</w:t>
      </w:r>
    </w:p>
    <w:p>
      <w:r>
        <w:t>本轮完成公开来源调研与指定提交的只读代码核验，没有安装或付费体验竞品，没有调用付费模型，也没有修改仓库。公开页面不能证明实际出图效果或默认付费墙。外部证据包括官方产品与规则、行业平台样本统计、公开评论及开发者回应；个案不用于计算普遍故障率。产品设计、试验规模与内部验收建议均不是已有市场结果。</w:t>
      </w:r>
    </w:p>
    <w:p>
      <w:pPr>
        <w:pStyle w:val="Heading2"/>
      </w:pPr>
      <w:r>
        <w:t>本轮需要修正的判断</w:t>
      </w:r>
    </w:p>
    <w:p>
      <w:r>
        <w:rPr>
          <w:b/>
        </w:rPr>
        <w:t>车库与局部编辑不是空白机会。</w:t>
      </w:r>
      <w:r>
        <w:t xml:space="preserve"> 多款应用已经宣传这些能力；FORM 的差异应落实到首图可用率、单项修改准确性、连续编辑稳定性和清楚的权益，而不是只改变功能命名。[S01][S04][S06]</w:t>
      </w:r>
    </w:p>
    <w:p>
      <w:r>
        <w:rPr>
          <w:b/>
        </w:rPr>
        <w:t>免费体验不是零风险获客。</w:t>
      </w:r>
      <w:r>
        <w:t xml:space="preserve"> 应保留用户验证自己车辆效果的机会，同时核算未付费用户和滥用产生的成本；不能先无限赠送，再用突然加重的付费墙补亏损。[S03]</w:t>
      </w:r>
    </w:p>
    <w:p>
      <w:r>
        <w:rPr>
          <w:b/>
        </w:rPr>
        <w:t>“同一辆车”包括地区与细节。</w:t>
      </w:r>
      <w:r>
        <w:t xml:space="preserve"> 不能只保留大致轮廓。车灯、车窗、车门、原有改装，以及照片中可见的左右舵和车牌样式，都应进入按任务划定的保护范围。看不见的属性不应靠模型猜测。[S14]</w:t>
      </w:r>
    </w:p>
    <w:p>
      <w:r>
        <w:rPr>
          <w:b/>
        </w:rPr>
        <w:t>单项修改不只是加一个入口。</w:t>
      </w:r>
      <w:r>
        <w:t xml:space="preserve"> 现有任务约束将微调绑定到已有生成版本；直接修改原图需要扩展基础图与任务语义。[R04]</w:t>
      </w:r>
    </w:p>
    <w:p>
      <w:r>
        <w:rPr>
          <w:b/>
        </w:rPr>
        <w:t>高清不能只做一个付费按钮。</w:t>
      </w:r>
      <w:r>
        <w:t xml:space="preserve"> 现有输出复用最长边 2400 像素和 10 MB 的归一化规则；接入更大图像后可能被缩小，甚至被拒绝。输出母版、展示缩略图和导出规格需要分开。[R03]</w:t>
      </w:r>
    </w:p>
    <w:p>
      <w:pPr>
        <w:pStyle w:val="Heading1"/>
      </w:pPr>
      <w:r>
        <w:t>02 竞争格局：按用户要完成的任务分组</w:t>
      </w:r>
    </w:p>
    <w:p>
      <w:pPr>
        <w:pStyle w:val="Heading2"/>
      </w:pPr>
      <w:r>
        <w:t>2.1 直接竞品与替代方案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DDF"/>
          <w:bottom w:val="single" w:sz="4" w:color="D3DDDF"/>
          <w:left w:val="nil" w:sz="4" w:color="D3DDDF"/>
          <w:right w:val="nil" w:sz="4" w:color="D3DDDF"/>
          <w:insideH w:val="single" w:sz="4" w:color="D3DDDF"/>
          <w:insideV w:val="nil" w:sz="4" w:color="D3DDDF"/>
        </w:tblBorders>
      </w:tblPr>
      <w:tblGrid>
        <w:gridCol w:w="1679"/>
        <w:gridCol w:w="4149"/>
        <w:gridCol w:w="4050"/>
      </w:tblGrid>
      <w:tr>
        <w:trPr>
          <w:cantSplit/>
          <w:tblHeader/>
        </w:trPr>
        <w:tc>
          <w:tcPr>
            <w:tcW w:type="dxa" w:w="167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AF0F0"/>
          </w:tcPr>
          <w:p>
            <w:pPr>
              <w:keepNext/>
              <w:spacing w:before="0" w:after="0" w:line="293" w:lineRule="auto"/>
            </w:pPr>
            <w:r>
              <w:rPr>
                <w:b/>
                <w:sz w:val="20"/>
              </w:rPr>
              <w:t>产品</w:t>
            </w:r>
          </w:p>
        </w:tc>
        <w:tc>
          <w:tcPr>
            <w:tcW w:type="dxa" w:w="414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AF0F0"/>
          </w:tcPr>
          <w:p>
            <w:pPr>
              <w:keepNext/>
              <w:spacing w:before="0" w:after="0" w:line="293" w:lineRule="auto"/>
            </w:pPr>
            <w:r>
              <w:rPr>
                <w:b/>
                <w:sz w:val="20"/>
              </w:rPr>
              <w:t>本次核验到的公开方向</w:t>
            </w:r>
          </w:p>
        </w:tc>
        <w:tc>
          <w:tcPr>
            <w:tcW w:type="dxa" w:w="405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AF0F0"/>
          </w:tcPr>
          <w:p>
            <w:pPr>
              <w:keepNext/>
              <w:spacing w:before="0" w:after="0" w:line="293" w:lineRule="auto"/>
            </w:pPr>
            <w:r>
              <w:rPr>
                <w:b/>
                <w:sz w:val="20"/>
              </w:rPr>
              <w:t>对 FORM 的决策意义</w:t>
            </w:r>
          </w:p>
        </w:tc>
      </w:tr>
      <w:tr>
        <w:trPr>
          <w:cantSplit/>
        </w:trPr>
        <w:tc>
          <w:tcPr>
            <w:tcW w:type="dxa" w:w="167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Mody</w:t>
            </w:r>
          </w:p>
        </w:tc>
        <w:tc>
          <w:tcPr>
            <w:tcW w:type="dxa" w:w="414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整体风格、自由提示词、逐部位编辑、创意造型；美区显示约 6.2K 个评分。[S01]</w:t>
            </w:r>
          </w:p>
        </w:tc>
        <w:tc>
          <w:tcPr>
            <w:tcW w:type="dxa" w:w="405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应作为重点流程与权益实测对象；不能仅以“整车风格加微调”宣称独特。</w:t>
            </w:r>
          </w:p>
        </w:tc>
      </w:tr>
      <w:tr>
        <w:trPr>
          <w:cantSplit/>
        </w:trPr>
        <w:tc>
          <w:tcPr>
            <w:tcW w:type="dxa" w:w="167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Driftshot</w:t>
            </w:r>
          </w:p>
        </w:tc>
        <w:tc>
          <w:tcPr>
            <w:tcW w:type="dxa" w:w="414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写真、视频、改装，以及需要多张照片的专属训练；美区约 1.6K 个评分。[S02]</w:t>
            </w:r>
          </w:p>
        </w:tc>
        <w:tc>
          <w:tcPr>
            <w:tcW w:type="dxa" w:w="405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作品感值得学习，但训练与视频不应成为 FORM 首次体验的负担。</w:t>
            </w:r>
          </w:p>
        </w:tc>
      </w:tr>
      <w:tr>
        <w:trPr>
          <w:cantSplit/>
        </w:trPr>
        <w:tc>
          <w:tcPr>
            <w:tcW w:type="dxa" w:w="167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Wrapr</w:t>
            </w:r>
          </w:p>
        </w:tc>
        <w:tc>
          <w:tcPr>
            <w:tcW w:type="dxa" w:w="414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改色、外观部件、清理和背景工具；页面尚无足够评分形成概览。[S04]</w:t>
            </w:r>
          </w:p>
        </w:tc>
        <w:tc>
          <w:tcPr>
            <w:tcW w:type="dxa" w:w="405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参考任务表达，不把它当成已验证的商业标杆。</w:t>
            </w:r>
          </w:p>
        </w:tc>
      </w:tr>
      <w:tr>
        <w:trPr>
          <w:cantSplit/>
        </w:trPr>
        <w:tc>
          <w:tcPr>
            <w:tcW w:type="dxa" w:w="167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Car AI - AI Car Modifications</w:t>
            </w:r>
          </w:p>
        </w:tc>
        <w:tc>
          <w:tcPr>
            <w:tcW w:type="dxa" w:w="414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外观、内饰、背景、参考风格；版本说明还扩展了创意效果与目录照片。[S05]</w:t>
            </w:r>
          </w:p>
        </w:tc>
        <w:tc>
          <w:tcPr>
            <w:tcW w:type="dxa" w:w="405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说明汽车创作工具箱正在扩张；FORM 应控制范围，而非跟完所有菜单。</w:t>
            </w:r>
          </w:p>
        </w:tc>
      </w:tr>
      <w:tr>
        <w:trPr>
          <w:cantSplit/>
        </w:trPr>
        <w:tc>
          <w:tcPr>
            <w:tcW w:type="dxa" w:w="167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Rimo</w:t>
            </w:r>
          </w:p>
        </w:tc>
        <w:tc>
          <w:tcPr>
            <w:tcW w:type="dxa" w:w="414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轮毂、涂装、场景、视频、车库与社群玩法；评分样本很小。[S06]</w:t>
            </w:r>
          </w:p>
        </w:tc>
        <w:tc>
          <w:tcPr>
            <w:tcW w:type="dxa" w:w="405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车库、持续编辑和分享是竞争基础，不是单独成立的护城河。</w:t>
            </w:r>
          </w:p>
        </w:tc>
      </w:tr>
      <w:tr>
        <w:trPr>
          <w:cantSplit/>
        </w:trPr>
        <w:tc>
          <w:tcPr>
            <w:tcW w:type="dxa" w:w="167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CarVisionAI</w:t>
            </w:r>
          </w:p>
        </w:tc>
        <w:tc>
          <w:tcPr>
            <w:tcW w:type="dxa" w:w="414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预设与参考方案迁移；官网和商店的免费额度描述不一致。[S07][S08]</w:t>
            </w:r>
          </w:p>
        </w:tc>
        <w:tc>
          <w:tcPr>
            <w:tcW w:type="dxa" w:w="405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统一商店、网站、付费页和服务端权益来源，避免用户合理误解。</w:t>
            </w:r>
          </w:p>
        </w:tc>
      </w:tr>
      <w:tr>
        <w:trPr>
          <w:cantSplit/>
        </w:trPr>
        <w:tc>
          <w:tcPr>
            <w:tcW w:type="dxa" w:w="167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MOTORMIA</w:t>
            </w:r>
          </w:p>
        </w:tc>
        <w:tc>
          <w:tcPr>
            <w:tcW w:type="dxa" w:w="414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从车型信息进入改装建议、部件与项目清单。[S09]</w:t>
            </w:r>
          </w:p>
        </w:tc>
        <w:tc>
          <w:tcPr>
            <w:tcW w:type="dxa" w:w="405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它更接近真实改装规划；FORM 不宜把视觉概念包装成适配建议。</w:t>
            </w:r>
          </w:p>
        </w:tc>
      </w:tr>
      <w:tr>
        <w:trPr>
          <w:cantSplit/>
        </w:trPr>
        <w:tc>
          <w:tcPr>
            <w:tcW w:type="dxa" w:w="167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3DTuning</w:t>
            </w:r>
          </w:p>
        </w:tc>
        <w:tc>
          <w:tcPr>
            <w:tcW w:type="dxa" w:w="414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三维车型配置与车库、社区。[S10]</w:t>
            </w:r>
          </w:p>
        </w:tc>
        <w:tc>
          <w:tcPr>
            <w:tcW w:type="dxa" w:w="405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学习可控制的配置过程，不承接大规模三维资产建设。</w:t>
            </w:r>
          </w:p>
        </w:tc>
      </w:tr>
      <w:tr>
        <w:trPr>
          <w:cantSplit/>
        </w:trPr>
        <w:tc>
          <w:tcPr>
            <w:tcW w:type="dxa" w:w="167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Tire Rack</w:t>
            </w:r>
          </w:p>
        </w:tc>
        <w:tc>
          <w:tcPr>
            <w:tcW w:type="dxa" w:w="414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围绕具体车辆和可售轮毂的视觉选购工具。[S11]</w:t>
            </w:r>
          </w:p>
        </w:tc>
        <w:tc>
          <w:tcPr>
            <w:tcW w:type="dxa" w:w="405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真实商品适配需要另一套数据与商业能力。</w:t>
            </w:r>
          </w:p>
        </w:tc>
      </w:tr>
      <w:tr>
        <w:trPr>
          <w:cantSplit/>
        </w:trPr>
        <w:tc>
          <w:tcPr>
            <w:tcW w:type="dxa" w:w="167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Avery Dennison</w:t>
            </w:r>
          </w:p>
        </w:tc>
        <w:tc>
          <w:tcPr>
            <w:tcW w:type="dxa" w:w="414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围绕实际改色膜产品的可视化和安装服务。[S12]</w:t>
            </w:r>
          </w:p>
        </w:tc>
        <w:tc>
          <w:tcPr>
            <w:tcW w:type="dxa" w:w="405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可以借鉴颜色与表面效果的表达，但不能把 AI 图片当成真实材料色样。</w:t>
            </w:r>
          </w:p>
        </w:tc>
      </w:tr>
      <w:tr>
        <w:trPr>
          <w:cantSplit/>
        </w:trPr>
        <w:tc>
          <w:tcPr>
            <w:tcW w:type="dxa" w:w="167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Car Rim Photo Editor</w:t>
            </w:r>
          </w:p>
        </w:tc>
        <w:tc>
          <w:tcPr>
            <w:tcW w:type="dxa" w:w="414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通过轮毂贴图的位置、旋转和透明度调整进行编辑。[S13]</w:t>
            </w:r>
          </w:p>
        </w:tc>
        <w:tc>
          <w:tcPr>
            <w:tcW w:type="dxa" w:w="405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简单确定性操作也可能有价值，不必让每个动作都调用生成模型。</w:t>
            </w:r>
          </w:p>
        </w:tc>
      </w:tr>
      <w:tr>
        <w:trPr>
          <w:cantSplit/>
        </w:trPr>
        <w:tc>
          <w:tcPr>
            <w:tcW w:type="dxa" w:w="167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通用图像编辑模型</w:t>
            </w:r>
          </w:p>
        </w:tc>
        <w:tc>
          <w:tcPr>
            <w:tcW w:type="dxa" w:w="414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支持图片编辑，但不同模型对多参考图、连续编辑的适合程度不同。[S18][S19]</w:t>
            </w:r>
          </w:p>
        </w:tc>
        <w:tc>
          <w:tcPr>
            <w:tcW w:type="dxa" w:w="405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专用产品必须减少用户解释、重试和整理结果的工作，而非只包装提示词。</w:t>
            </w:r>
          </w:p>
        </w:tc>
      </w:tr>
    </w:tbl>
    <w:p>
      <w:pPr>
        <w:spacing w:after="20" w:before="0" w:line="240" w:lineRule="auto"/>
      </w:pPr>
      <w:r>
        <w:rPr>
          <w:sz w:val="6"/>
        </w:rPr>
      </w:r>
    </w:p>
    <w:p>
      <w:r>
        <w:t>评分数量仅用于判断公开反馈的研究权重，不代表下载量、收入、留存或效果排序。没有评价概览也不等于产品无人使用。商店文案是能力宣称，不能替代相同照片下的付费实测。</w:t>
      </w:r>
    </w:p>
    <w:p>
      <w:pPr>
        <w:pStyle w:val="Heading2"/>
      </w:pPr>
      <w:r>
        <w:t>2.2 评论带来的高价值问题</w:t>
      </w:r>
    </w:p>
    <w:p>
      <w:r>
        <w:t>Mody 的部分公开评论把问题指向“想要准确修改具体部件，却得到近似概念”。这提示 FORM 必须区分审美探索与精确配件配置。[S15]</w:t>
      </w:r>
    </w:p>
    <w:p>
      <w:r>
        <w:t>Driftshot 的公开评论出现年付与额度补充周期误解；开发者另曾解释免费体验因滥用及成本而撤下。这些个案将权益解释、体验机会和反滥用关联起来。[S03]</w:t>
      </w:r>
    </w:p>
    <w:p>
      <w:r>
        <w:t>澳区 Driftshot 的一条近期评论提到右舵、车牌样式在视频中出错，开发者回应承认这些细节仍可能失准。该案例来自视频，不应直接当成静态改图的故障率，但值得扩展地区测试。[S14]</w:t>
      </w:r>
    </w:p>
    <w:p>
      <w:r>
        <w:t>MOTORMIA 的一条评论不满所有搜索都必须经过 AI 对话。它提醒 FORM：明确的颜色或部件选择，应允许直接操作，而不是强迫每次先聊天。[S09]</w:t>
      </w:r>
    </w:p>
    <w:p>
      <w:pPr>
        <w:pStyle w:val="Heading2"/>
      </w:pPr>
      <w:r>
        <w:t>2.3 价格快照怎样使用</w:t>
      </w:r>
    </w:p>
    <w:p>
      <w:r>
        <w:t>美区公开条目包括：Wrapr 每周 6.99 美元、每年 99.99 美元；Mody 有每周 6.99 美元及多种年付、金币产品；Driftshot 有每周 9.99 美元及额度包；Rimo 有每周 6.99 美元、每月 24.99 美元及金币包。[S01][S02][S04][S06]</w:t>
      </w:r>
    </w:p>
    <w:p>
      <w:r>
        <w:t>英国 Mody 页面列出以英镑计价的产品；澳区 Driftshot 列出当地商店价格，包括每周 14.99 澳元条目。[S14][S16] 不把不同商店的货币符号直接当美元，也不由商店商品列表推断所有用户看到的默认付费墙、免费试用或实际额度。</w:t>
      </w:r>
    </w:p>
    <w:p>
      <w:r>
        <w:t>建议把价格当成实测线索，而不是定价依据。最终应测：用户得到一张愿意留下的作品，共付出多少金钱、等待和重试。</w:t>
      </w:r>
    </w:p>
    <w:p>
      <w:pPr>
        <w:pStyle w:val="Heading2"/>
      </w:pPr>
      <w:r>
        <w:t>2.4 新增跟踪：同名产品与更新节奏</w:t>
      </w:r>
    </w:p>
    <w:p>
      <w:r>
        <w:t>另一个产品 Car AI: Modify, Tune &amp; Design（App ID 6762599357）与上表的 Car AI（6751798844）不是同一应用，价格与评论不能合并。前者的 1.4.0 更新说明宣传 400 多个场景模板和每周新增内容；它提示内容持续供给也是一种竞争方式，不意味着 FORM 首版需要跟到相同数量。[S31]</w:t>
      </w:r>
    </w:p>
    <w:p>
      <w:r>
        <w:t>Car Editor: AI Design &amp; Mods 的 2026 年 7 至 8 月更新记录包括购买同步、历史前后对比、旋转图片导入修复与可收起的处理页。它还有一条评论直接把通用 AI 订阅当作替代，开发者则强调专用能力；双方说法都不是同题实测结论。[S32]</w:t>
      </w:r>
    </w:p>
    <w:p>
      <w:r>
        <w:t>这些证据支持两个建议：优先完成真实使用中的恢复、比较与导入体验；模型对照必须包含一个通用编辑基线。不能只和功能更少的小应用比较。模板运营等核心质量成立后再做，先持续发布少量有授权、可复现的案例。</w:t>
      </w:r>
    </w:p>
    <w:p>
      <w:pPr>
        <w:pStyle w:val="Heading1"/>
      </w:pPr>
      <w:r>
        <w:t>03 用户、市场与价值边界</w:t>
      </w:r>
    </w:p>
    <w:p>
      <w:pPr>
        <w:pStyle w:val="Heading2"/>
      </w:pPr>
      <w:r>
        <w:t>3.1 首发优先级</w:t>
      </w:r>
    </w:p>
    <w:p>
      <w:r>
        <w:rPr>
          <w:b/>
        </w:rPr>
        <w:t>主要用户：审美探索型普通车主。</w:t>
      </w:r>
      <w:r>
        <w:t xml:space="preserve"> 有自己的车，觉得可以更好看，但没有完整方案。成功表现是很少操作后得到愿意收藏或分享的作品。</w:t>
      </w:r>
    </w:p>
    <w:p>
      <w:r>
        <w:rPr>
          <w:b/>
        </w:rPr>
        <w:t>兼容用户：明确的单项预览者。</w:t>
      </w:r>
      <w:r>
        <w:t xml:space="preserve"> 已经知道想换颜色或看看另一种轮毂。成功表现是目标部位改变，其他部分保持稳定。</w:t>
      </w:r>
    </w:p>
    <w:p>
      <w:r>
        <w:rPr>
          <w:b/>
        </w:rPr>
        <w:t>暂不主要服务：精确施工规划者。</w:t>
      </w:r>
      <w:r>
        <w:t xml:space="preserve"> 需要真实 SKU、尺寸、孔距、轮胎规格、安装空间或道路合规。此类任务不能由一张概念图片证明。</w:t>
      </w:r>
    </w:p>
    <w:p>
      <w:r>
        <w:t>这三类是研究分组，不是已经测出的市场比例，也不应强制用户在首次打开时填写身份问卷。</w:t>
      </w:r>
    </w:p>
    <w:p>
      <w:pPr>
        <w:pStyle w:val="Heading2"/>
      </w:pPr>
      <w:r>
        <w:t>3.2 海外不是同一种车辆审美</w:t>
      </w:r>
    </w:p>
    <w:p>
      <w:r>
        <w:t>SEMA 于 2026 年 6 月发布的市场报告摘要强调日常车辆个性化，皮卡在其实体改装销售统计中占重要位置。[S17] 对 FORM 的合理启示是扩大照片与案例覆盖；不能把实体零件销售规模换算成 AI App 的市场规模或付费意愿。</w:t>
      </w:r>
    </w:p>
    <w:p>
      <w:r>
        <w:t>建议案例与测试包含轿车、两厢车、跨界 SUV、皮卡、跑车或双门车、较旧车辆。地区样本考虑不同车牌、可见左右舵、车灯与车型年款细节。先测试支持范围，不能让“支持所有车型”早于证据。</w:t>
      </w:r>
    </w:p>
    <w:p>
      <w:pPr>
        <w:pStyle w:val="Heading2"/>
      </w:pPr>
      <w:r>
        <w:t>3.3 更清楚的外部承诺</w:t>
      </w:r>
    </w:p>
    <w:p>
      <w:r>
        <w:t>建议主要表达：See a new look on your own car. 外观创作、改色与轮毂概念应具体可理解。避免使用保证适配、精准材料色号、专业施工预览等超出产品能力的文案。</w:t>
      </w:r>
    </w:p>
    <w:p>
      <w:r>
        <w:t>“保持原车”作为质量目标，而非未经验证的百分之百保证。不要一边宣传真实改装决策，一边用免责声明要求用户接受任意车型变化。</w:t>
      </w:r>
    </w:p>
    <w:p>
      <w:pPr>
        <w:pStyle w:val="Heading1"/>
      </w:pPr>
      <w:r>
        <w:t>04 首发范围：少而完整，不是少而无聊</w:t>
      </w:r>
    </w:p>
    <w:p>
      <w:pPr>
        <w:pStyle w:val="Heading2"/>
      </w:pPr>
      <w:r>
        <w:t>4.1 四个建议验证的整车方向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DDF"/>
          <w:bottom w:val="single" w:sz="4" w:color="D3DDDF"/>
          <w:left w:val="nil" w:sz="4" w:color="D3DDDF"/>
          <w:right w:val="nil" w:sz="4" w:color="D3DDDF"/>
          <w:insideH w:val="single" w:sz="4" w:color="D3DDDF"/>
          <w:insideV w:val="nil" w:sz="4" w:color="D3DDDF"/>
        </w:tblBorders>
      </w:tblPr>
      <w:tblGrid>
        <w:gridCol w:w="2173"/>
        <w:gridCol w:w="3754"/>
        <w:gridCol w:w="3951"/>
      </w:tblGrid>
      <w:tr>
        <w:trPr>
          <w:cantSplit/>
          <w:tblHeader/>
        </w:trPr>
        <w:tc>
          <w:tcPr>
            <w:tcW w:type="dxa" w:w="217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AF0F0"/>
          </w:tcPr>
          <w:p>
            <w:pPr>
              <w:keepNext/>
              <w:spacing w:before="0" w:after="0" w:line="293" w:lineRule="auto"/>
            </w:pPr>
            <w:r>
              <w:rPr>
                <w:b/>
                <w:sz w:val="20"/>
              </w:rPr>
              <w:t>方向</w:t>
            </w:r>
          </w:p>
        </w:tc>
        <w:tc>
          <w:tcPr>
            <w:tcW w:type="dxa" w:w="375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AF0F0"/>
          </w:tcPr>
          <w:p>
            <w:pPr>
              <w:keepNext/>
              <w:spacing w:before="0" w:after="0" w:line="293" w:lineRule="auto"/>
            </w:pPr>
            <w:r>
              <w:rPr>
                <w:b/>
                <w:sz w:val="20"/>
              </w:rPr>
              <w:t>给用户的价值</w:t>
            </w:r>
          </w:p>
        </w:tc>
        <w:tc>
          <w:tcPr>
            <w:tcW w:type="dxa" w:w="39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AF0F0"/>
          </w:tcPr>
          <w:p>
            <w:pPr>
              <w:keepNext/>
              <w:spacing w:before="0" w:after="0" w:line="293" w:lineRule="auto"/>
            </w:pPr>
            <w:r>
              <w:rPr>
                <w:b/>
                <w:sz w:val="20"/>
              </w:rPr>
              <w:t>首发验证重点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before="0" w:after="0" w:line="293" w:lineRule="auto"/>
            </w:pPr>
            <w:r>
              <w:rPr>
                <w:sz w:val="20"/>
              </w:rPr>
              <w:t>低调升级</w:t>
            </w:r>
          </w:p>
        </w:tc>
        <w:tc>
          <w:tcPr>
            <w:tcW w:type="dxa" w:w="375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before="0" w:after="0" w:line="293" w:lineRule="auto"/>
            </w:pPr>
            <w:r>
              <w:rPr>
                <w:sz w:val="20"/>
              </w:rPr>
              <w:t>保留熟悉气质，显得更精致</w:t>
            </w:r>
          </w:p>
        </w:tc>
        <w:tc>
          <w:tcPr>
            <w:tcW w:type="dxa" w:w="39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before="0" w:after="0" w:line="293" w:lineRule="auto"/>
            </w:pPr>
            <w:r>
              <w:rPr>
                <w:sz w:val="20"/>
              </w:rPr>
              <w:t>轮毂与少量饰件，原车色保持。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before="0" w:after="0" w:line="293" w:lineRule="auto"/>
            </w:pPr>
            <w:r>
              <w:rPr>
                <w:sz w:val="20"/>
              </w:rPr>
              <w:t>街头运动</w:t>
            </w:r>
          </w:p>
        </w:tc>
        <w:tc>
          <w:tcPr>
            <w:tcW w:type="dxa" w:w="375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before="0" w:after="0" w:line="293" w:lineRule="auto"/>
            </w:pPr>
            <w:r>
              <w:rPr>
                <w:sz w:val="20"/>
              </w:rPr>
              <w:t>看得见的运动感，不改成另一车型</w:t>
            </w:r>
          </w:p>
        </w:tc>
        <w:tc>
          <w:tcPr>
            <w:tcW w:type="dxa" w:w="39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before="0" w:after="0" w:line="293" w:lineRule="auto"/>
            </w:pPr>
            <w:r>
              <w:rPr>
                <w:sz w:val="20"/>
              </w:rPr>
              <w:t>配色与轮毂形成整体，局部装饰克制。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before="0" w:after="0" w:line="293" w:lineRule="auto"/>
            </w:pPr>
            <w:r>
              <w:rPr>
                <w:sz w:val="20"/>
              </w:rPr>
              <w:t>现代复古</w:t>
            </w:r>
          </w:p>
        </w:tc>
        <w:tc>
          <w:tcPr>
            <w:tcW w:type="dxa" w:w="375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before="0" w:after="0" w:line="293" w:lineRule="auto"/>
            </w:pPr>
            <w:r>
              <w:rPr>
                <w:sz w:val="20"/>
              </w:rPr>
              <w:t>有辨识度又不过分夸张</w:t>
            </w:r>
          </w:p>
        </w:tc>
        <w:tc>
          <w:tcPr>
            <w:tcW w:type="dxa" w:w="39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before="0" w:after="0" w:line="293" w:lineRule="auto"/>
            </w:pPr>
            <w:r>
              <w:rPr>
                <w:sz w:val="20"/>
              </w:rPr>
              <w:t>色彩、轮毂和饰件协调，不能把车改成年代不同的车型。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大胆改色</w:t>
            </w:r>
          </w:p>
        </w:tc>
        <w:tc>
          <w:tcPr>
            <w:tcW w:type="dxa" w:w="375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一眼看出变化</w:t>
            </w:r>
          </w:p>
        </w:tc>
        <w:tc>
          <w:tcPr>
            <w:tcW w:type="dxa" w:w="39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新颜色或表面质感，结构与场景尽量稳定。</w:t>
            </w:r>
          </w:p>
        </w:tc>
      </w:tr>
    </w:tbl>
    <w:p>
      <w:pPr>
        <w:spacing w:after="20" w:before="0" w:line="240" w:lineRule="auto"/>
      </w:pPr>
      <w:r>
        <w:rPr>
          <w:sz w:val="6"/>
        </w:rPr>
      </w:r>
    </w:p>
    <w:p>
      <w:r>
        <w:t>现有八个风格 ID 可以保留在数据层，不必删除历史。前台可以通过能力开关只展示达到质量要求的方向。不要用风格数量作为交付指标。</w:t>
      </w:r>
    </w:p>
    <w:p>
      <w:r>
        <w:t>建议首发至少验证一种轮毂造型变化，否则“AI 改装”很容易只剩配色工具。若质量仍不稳定，就缩小可用车型或暂不开放该能力，而不是借优选封面掩盖差距。</w:t>
      </w:r>
    </w:p>
    <w:p>
      <w:pPr>
        <w:pStyle w:val="Heading2"/>
      </w:pPr>
      <w:r>
        <w:t>4.2 后置微调的建议范围</w:t>
      </w:r>
    </w:p>
    <w:p>
      <w:r>
        <w:t>先把车身颜色、轮毂颜色做完整；再验证车身表面效果与少量通用轮毂样式。亮面、哑光、缎面只是视觉方向，不承诺对应真实材料或可施工色号。样式用五辐、多辐等通用表达，暂不承诺某品牌具体商品的准确复刻。</w:t>
      </w:r>
    </w:p>
    <w:p>
      <w:r>
        <w:t>不要首次就强制选择轮毂尺寸、预算、用途、车型年款和性能目标。车型信息可在识别不确定、用户主动校正或保存车库时补充。</w:t>
      </w:r>
    </w:p>
    <w:p>
      <w:pPr>
        <w:pStyle w:val="Heading2"/>
      </w:pPr>
      <w:r>
        <w:t>4.3 不进入首发范围</w:t>
      </w:r>
    </w:p>
    <w:p>
      <w:r>
        <w:t>不做真实配件商城、施工报价、性能预测、完整三维模型库、任意角度重建、复杂社区或默认专属模型训练。背景写真与 AI 视频单独验证，不能混入核心改装流程，让“保持背景”的承诺失效。</w:t>
      </w:r>
    </w:p>
    <w:p>
      <w:r>
        <w:t>可以提供基于现有前后图片合成的切换短片。这属于导出形式，不应伪装成新生成的汽车运动视频，也不必再次调用图像模型。</w:t>
      </w:r>
    </w:p>
    <w:p>
      <w:pPr>
        <w:pStyle w:val="Heading1"/>
      </w:pPr>
      <w:r>
        <w:t>05 页面与交互改版</w:t>
      </w:r>
    </w:p>
    <w:p>
      <w:pPr>
        <w:pStyle w:val="Heading2"/>
      </w:pPr>
      <w:r>
        <w:t>5.1 首页：保留案例先行，取消不必要的必经详情</w:t>
      </w:r>
    </w:p>
    <w:p>
      <w:r>
        <w:t>首页第一屏显示真实、授权、可复现的原图与结果，以及“Try this look on my car”。案例详情继续保留为可选深入页。品牌文案退到辅助位置，不让第一按钮只承担滚动页面。</w:t>
      </w:r>
    </w:p>
    <w:p>
      <w:r>
        <w:t>主路径为发现整车方案；次入口为“Change one detail”。两者不做同等复杂的工具栏。单项入口先展示已验证能力，不能把尚未实现的部件放进去制造落差。</w:t>
      </w:r>
    </w:p>
    <w:p>
      <w:r>
        <w:t>回访用户优先看到自己的车辆、收藏方案和未完成任务；新用户看到案例。不要每次重新介绍产品。</w:t>
      </w:r>
    </w:p>
    <w:p>
      <w:pPr>
        <w:pStyle w:val="Heading2"/>
      </w:pPr>
      <w:r>
        <w:t>5.2 选图：先本地确认，再有说明地上传</w:t>
      </w:r>
    </w:p>
    <w:p>
      <w:r>
        <w:t>本地预览照片，提示全车与轮毂可见；处理旋转、HEIC 转换、过大文件和 iCloud 尚未下载的状态。只需选一张图时优先使用系统照片选择体验，不要求整库访问。[S26]</w:t>
      </w:r>
    </w:p>
    <w:p>
      <w:r>
        <w:t>在上传前说明云端存储用途；在发送第三方 AI 前说明实际处理方、用途和同意选择。生成同意不能替代图片使用授权，两者也不能与营销邮件同意捆绑。[S21]</w:t>
      </w:r>
    </w:p>
    <w:p>
      <w:r>
        <w:t>可增加一键遮牌及人工校正，但不要声称任何自动遮挡一定识别完整。照片预检先解决明确问题；对低置信度图片给建议，不把可能误判的模型评分当绝对拒绝依据。</w:t>
      </w:r>
    </w:p>
    <w:p>
      <w:pPr>
        <w:pStyle w:val="Heading2"/>
      </w:pPr>
      <w:r>
        <w:t>5.3 确认页：一句话说清这次购买的变化</w:t>
      </w:r>
    </w:p>
    <w:p>
      <w:r>
        <w:t>展示基础图、本次修改、保留项、交付数量和消耗。示例：车身保持当前；轮毂改为暖铜色；不改轮毂造型和背景；交付一个新版本，消耗一次生成。</w:t>
      </w:r>
    </w:p>
    <w:p>
      <w:r>
        <w:t>Keep current 指当前选中基础版本，不是最早原图；恢复原图某部位必须是独立、明确的操作。选项切换、撤销和比较都不触发生成。</w:t>
      </w:r>
    </w:p>
    <w:p>
      <w:pPr>
        <w:pStyle w:val="Heading2"/>
      </w:pPr>
      <w:r>
        <w:t>5.4 等待页：真实状态与可恢复性</w:t>
      </w:r>
    </w:p>
    <w:p>
      <w:r>
        <w:t>显示等待开始、正在处理、正在确认结果等实际发生的状态；只有实施了相应检查才显示“检查中”。没有供应商进度时不要显示伪百分比，也不要声称正在识别车型或精修轮毂。</w:t>
      </w:r>
    </w:p>
    <w:p>
      <w:r>
        <w:t>允许用户离开页面；任务在服务端继续，返回后恢复。可在适当时机选择结果通知，但拒绝通知不影响创作。超出正常等待范围时解释任务状态与后续处理，而不是无限旋转。</w:t>
      </w:r>
    </w:p>
    <w:p>
      <w:r>
        <w:t>取消规则按实际阶段明确：未提交可取消；已提交供应商后不保证停止计费。用户退次数与供应商退款属于两本不同的账。</w:t>
      </w:r>
    </w:p>
    <w:p>
      <w:pPr>
        <w:pStyle w:val="Heading2"/>
      </w:pPr>
      <w:r>
        <w:t>5.5 结果页：先看变化，再提供动作</w:t>
      </w:r>
    </w:p>
    <w:p>
      <w:r>
        <w:t>结果区域直接提供原图对比和局部放大。可使用短暂的前后揭示，尊重减少动态效果设置；不依赖动画理解结果。</w:t>
      </w:r>
    </w:p>
    <w:p>
      <w:r>
        <w:t>三个主要动作：喜欢整体，改一点；尝试另一种风格；保存或分享。已有作品自动保存到车库，收藏按钮明确叫 Add to favorites，保存到相册另设操作。不能把三者都叫 Save。</w:t>
      </w:r>
    </w:p>
    <w:p>
      <w:r>
        <w:t>反馈区分：不像我的车、没有按要求修改、图片明显损坏、只是我不喜欢这个搭配。前三类进入质量排查与补救；最后一类进入主动创作。</w:t>
      </w:r>
    </w:p>
    <w:p>
      <w:pPr>
        <w:pStyle w:val="Heading2"/>
      </w:pPr>
      <w:r>
        <w:t>5.6 微调页：给选择明确反馈，不偷换主图</w:t>
      </w:r>
    </w:p>
    <w:p>
      <w:r>
        <w:t>选项更新的是草稿。主图保持基础版本，并显示清楚的变更清单与待生成状态。参考色与材质示例标明是参考，不冒充已经应用在用户车辆上的效果。</w:t>
      </w:r>
    </w:p>
    <w:p>
      <w:r>
        <w:t>若未来提供本地近似预览，应单独验证、标注近似、保留回看基础图，不把近似预览与付费生成混淆。当前版本无须为了“实时”让每次点选都产生模型费用。</w:t>
      </w:r>
    </w:p>
    <w:p>
      <w:pPr>
        <w:pStyle w:val="Heading2"/>
      </w:pPr>
      <w:r>
        <w:t>5.7 车库：从时间顺序变成用户决策工具</w:t>
      </w:r>
    </w:p>
    <w:p>
      <w:r>
        <w:t>每辆车允许指定喜欢的封面，独立显示收藏作品，并比较任意两个已保存版本。新风格从原图分支，微调沿选定分支，禁止悄悄覆盖旧结果。</w:t>
      </w:r>
    </w:p>
    <w:p>
      <w:r>
        <w:t>把方案与照片分开：一辆车可以有多张照片，一个方案可以被明确地应用到另一张照片。第二张照片的生成属于新任务，不能声称自动保持了多角度一致性。</w:t>
      </w:r>
    </w:p>
    <w:p>
      <w:pPr>
        <w:pStyle w:val="Heading2"/>
      </w:pPr>
      <w:r>
        <w:t>5.8 导出与分享：完成作品价值</w:t>
      </w:r>
    </w:p>
    <w:p>
      <w:r>
        <w:t>建议先做好干净图片、前后对比、竖屏方案卡。提供 1:1、4:5、9:16 等布局时，不裁掉车身；可以留边或采用已声明的背景布局。扩图若需要 AI，应是独立可见操作与报价，不能藏在免费导出里。</w:t>
      </w:r>
    </w:p>
    <w:p>
      <w:r>
        <w:t>分享可以携带方案名与非敏感搭配参数，不默认公开原图、车库或账号信息。后续“试试同一套配方”比首版社区更适合验证自然传播。</w:t>
      </w:r>
    </w:p>
    <w:p>
      <w:pPr>
        <w:pStyle w:val="Heading1"/>
      </w:pPr>
      <w:r>
        <w:t>06 方案配方与生成质量</w:t>
      </w:r>
    </w:p>
    <w:p>
      <w:pPr>
        <w:pStyle w:val="Heading2"/>
      </w:pPr>
      <w:r>
        <w:t>6.1 把一张图变成可理解的方案</w:t>
      </w:r>
    </w:p>
    <w:p>
      <w:r>
        <w:t>每个版本记录完整的“期望方案快照”，例如车色、表面、轮毂方向与颜色、保留项、参考图片作用范围。用户可以保留配色换轮毂，或保留轮毂换车色。</w:t>
      </w:r>
    </w:p>
    <w:p>
      <w:r>
        <w:t>必须分开三件事：用户请求、系统继承后的期望状态、实际结果经检查确认的状态。模型没有被验证的颜色，不能因为写进提示词就标为已准确实现。现有 verifiedTarget 主要服务确定性的 Demo；不要直接当成所有真实生成结果的可信属性。[R02][R05]</w:t>
      </w:r>
    </w:p>
    <w:p>
      <w:pPr>
        <w:pStyle w:val="Heading2"/>
      </w:pPr>
      <w:r>
        <w:t>6.2 生成约束不再靠相互冲突的句子堆叠</w:t>
      </w:r>
    </w:p>
    <w:p>
      <w:r>
        <w:t>将约束拆成必须保持、允许修改、禁止修改。整体风格可以允许有限轮毂或饰件变化；只改颜色时禁止顺带修改几何和轮毂样式。不要同时要求加前唇又绝对禁止增加任何对象。[R06]</w:t>
      </w:r>
    </w:p>
    <w:p>
      <w:r>
        <w:t>将风格文案、可编辑字段与供应商提示模板版本化。项目名字不是生成所必需的指令，不应无条件拼入模型提示。</w:t>
      </w:r>
    </w:p>
    <w:p>
      <w:pPr>
        <w:pStyle w:val="Heading2"/>
      </w:pPr>
      <w:r>
        <w:t>6.3 按任务选择技术路线</w:t>
      </w:r>
    </w:p>
    <w:p>
      <w:r>
        <w:t>纯颜色修改、轮毂造型修改、整车搭配与连续微调分别评测。可研究分割、局部编辑、保留区域合成，以及原图加当前版本的参考方式，但不能把任何一种技术名称当成质量保证。</w:t>
      </w:r>
    </w:p>
    <w:p>
      <w:r>
        <w:t>对需要连贯多轮编辑的任务，优先评测官方定位支持该工作流的模型。Google 当前文档明确区分了多轮编辑能力与偏低延迟的轻量图像模型；OpenAI 的图像指南也提示一致性、复杂请求耗时等限制。[S18][S19] 不根据单张广告样例或最低单价直接指定唯一模型。</w:t>
      </w:r>
    </w:p>
    <w:p>
      <w:r>
        <w:t>供应商输出应携带模型、请求标识、使用量、耗时、尺寸和错误类型。现有仅返回 Buffer 的接口不足以支撑成本诊断与质量追溯。[R06]</w:t>
      </w:r>
    </w:p>
    <w:p>
      <w:pPr>
        <w:pStyle w:val="Heading2"/>
      </w:pPr>
      <w:r>
        <w:t>6.4 三层质量检查</w:t>
      </w:r>
    </w:p>
    <w:p>
      <w:r>
        <w:t>第一层是技术可交付：解码、尺寸、空图、格式与持久化是否成功。第二层是任务正确：目标变化发生了没有，禁止变化有没有发生。第三层是审美可用：搭配是否协调、用户是否愿意留下。</w:t>
      </w:r>
    </w:p>
    <w:p>
      <w:r>
        <w:t>技术失败不扣用户次数。明显执行错误可进入有限补救或人工支持；不得用无限后台重试掩盖模型不足。自动质量判断应有人审抽查，避免误拒正确作品，也避免模型自评自夸。</w:t>
      </w:r>
    </w:p>
    <w:p>
      <w:r>
        <w:t>同一次用户确认只交付一个正式版本。若内部允许一次修复尝试，应由服务端配置预算上限、记录全部尝试，并保证不会额外扣用户次数或出现两个正式结果。</w:t>
      </w:r>
    </w:p>
    <w:p>
      <w:pPr>
        <w:pStyle w:val="Heading2"/>
      </w:pPr>
      <w:r>
        <w:t>6.5 高清资产策略</w:t>
      </w:r>
    </w:p>
    <w:p>
      <w:r>
        <w:t>拆分上传归一化、模型输入、生成母版和展示缩略图。输出规格应在确认时固定，并实测供应商返回尺寸。较低分辨率插值放大不能宣传为原生高清细节。</w:t>
      </w:r>
    </w:p>
    <w:p>
      <w:r>
        <w:t>现有归一化限制适合受控输入，但不应该直接用于所有输出母版。较大 PNG 被拒绝应归类为输出处理问题，不能给用户显示“请上传更小的照片”。[R03]</w:t>
      </w:r>
    </w:p>
    <w:p>
      <w:pPr>
        <w:pStyle w:val="Heading1"/>
      </w:pPr>
      <w:r>
        <w:t>07 收费、试用与单位经济</w:t>
      </w:r>
    </w:p>
    <w:p>
      <w:pPr>
        <w:pStyle w:val="Heading2"/>
      </w:pPr>
      <w:r>
        <w:t>7.1 建议先验证次数包，再决定是否需要订阅</w:t>
      </w:r>
    </w:p>
    <w:p>
      <w:r>
        <w:t>首发测试受控的真实体验机会和清楚的次数包。用户已有图片的查看、收藏、比较和基础导出不再次生成。不要在完成整段上传等待后，才发现任何有效结果都必须订阅。</w:t>
      </w:r>
    </w:p>
    <w:p>
      <w:r>
        <w:t>免费额度设总预算、账号或设备层面的合理限制和异常行为检查，不是每日无限续杯。若试用暂不可用，应在上传前说明；不能用“免费”吸引进入后临时变更承诺。</w:t>
      </w:r>
    </w:p>
    <w:p>
      <w:r>
        <w:t>订阅只有在持续使用价值成立后再测试。界面分开显示：会员功能、剩余生成次数、补充日期与补充数量。年付并不天然等于每月送次数，必须按真实权益明确表达。</w:t>
      </w:r>
    </w:p>
    <w:p>
      <w:r>
        <w:rPr>
          <w:b/>
        </w:rPr>
        <w:t>反证与试验边界：</w:t>
      </w:r>
      <w:r>
        <w:t xml:space="preserve"> RevenueCat 2026 报告主要分析其平台 2025 年的订阅应用样本。硬付费墙与免费增值组的下载至付费中位数为 10.7% 与 2.1%，但不是随机实验；AI 组月订阅的十二个月留存为 6.1%，非 AI 组为 9.5%。这些是订阅层面的跨品类统计，不是汽车 App 用户留存。[S30]</w:t>
      </w:r>
    </w:p>
    <w:p>
      <w:r>
        <w:t>因此，“先免费一张加次数包”是建议测试的基线，不是被证明的唯一最优方案。可在质量成立后比较：受控试用后购买次数包，与上传前明确展示价格的付费创作。若测试订阅，要同时观察净收入、退款、投诉、持续使用和生成成本；不能只看首日购买。避免将免费额度、低价、订阅周期和付费墙时点同时改变，导致无法解释结果。</w:t>
      </w:r>
    </w:p>
    <w:p>
      <w:pPr>
        <w:pStyle w:val="Heading2"/>
      </w:pPr>
      <w:r>
        <w:t>7.2 一张清楚的权益页面</w:t>
      </w:r>
    </w:p>
    <w:p>
      <w:r>
        <w:t>建议付费页依次回答：这次支付多少钱；是一次购买还是自动续费；获得什么；还有多少可用次数；什么时候补充；什么情况返还；如何管理购买与寻求支持。</w:t>
      </w:r>
    </w:p>
    <w:p>
      <w:r>
        <w:t>通过 Apple 内购买的次数不能任意设置到期失效。[S21] 一次性购买余额、赠送余额与订阅权益在账本上分开；取消订阅不应顺带清除另购次数。赠送规则与订阅服务周期另行清楚定义，并在上线前按具体产品核验。</w:t>
      </w:r>
    </w:p>
    <w:p>
      <w:pPr>
        <w:pStyle w:val="Heading2"/>
      </w:pPr>
      <w:r>
        <w:t>7.3 成本应按整个用户队列计算</w:t>
      </w:r>
    </w:p>
    <w:p>
      <w:r>
        <w:t>推荐核算公式：每位付费用户净贡献 = 实际净收入 - 付费生成交付成本 - 分摊的免费体验成本 - 存储与支持 - 退款损失 - 获客成本。</w:t>
      </w:r>
    </w:p>
    <w:p>
      <w:r>
        <w:t>不要只算成功模型调用。供应商可能已收费的取消或超时、输入图片、文字输出、质量检查与修复，都应计入。模型价目表中的“每张输出价格”不等于端到端交付成本。[S20]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DDF"/>
          <w:bottom w:val="single" w:sz="4" w:color="D3DDDF"/>
          <w:left w:val="nil" w:sz="4" w:color="D3DDDF"/>
          <w:right w:val="nil" w:sz="4" w:color="D3DDDF"/>
          <w:insideH w:val="single" w:sz="4" w:color="D3DDDF"/>
          <w:insideV w:val="nil" w:sz="4" w:color="D3DDDF"/>
        </w:tblBorders>
      </w:tblPr>
      <w:tblGrid>
        <w:gridCol w:w="4742"/>
        <w:gridCol w:w="2568"/>
        <w:gridCol w:w="2568"/>
      </w:tblGrid>
      <w:tr>
        <w:trPr>
          <w:cantSplit/>
          <w:tblHeader/>
        </w:trPr>
        <w:tc>
          <w:tcPr>
            <w:tcW w:type="dxa" w:w="474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AF0F0"/>
          </w:tcPr>
          <w:p>
            <w:pPr>
              <w:keepNext/>
              <w:spacing w:before="0" w:after="0" w:line="293" w:lineRule="auto"/>
            </w:pPr>
            <w:r>
              <w:rPr>
                <w:b/>
                <w:sz w:val="20"/>
              </w:rPr>
              <w:t>假设示例，不是定价建议或实测</w:t>
            </w:r>
          </w:p>
        </w:tc>
        <w:tc>
          <w:tcPr>
            <w:tcW w:type="dxa" w:w="2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AF0F0"/>
          </w:tcPr>
          <w:p>
            <w:pPr>
              <w:keepNext/>
              <w:spacing w:before="0" w:after="0" w:line="293" w:lineRule="auto"/>
              <w:jc w:val="center"/>
            </w:pPr>
            <w:r>
              <w:rPr>
                <w:b/>
                <w:sz w:val="20"/>
              </w:rPr>
              <w:t>受控体验</w:t>
            </w:r>
          </w:p>
        </w:tc>
        <w:tc>
          <w:tcPr>
            <w:tcW w:type="dxa" w:w="2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AF0F0"/>
          </w:tcPr>
          <w:p>
            <w:pPr>
              <w:keepNext/>
              <w:spacing w:before="0" w:after="0" w:line="293" w:lineRule="auto"/>
              <w:jc w:val="center"/>
            </w:pPr>
            <w:r>
              <w:rPr>
                <w:b/>
                <w:sz w:val="20"/>
              </w:rPr>
              <w:t>较昂贵体验</w:t>
            </w:r>
          </w:p>
        </w:tc>
      </w:tr>
      <w:tr>
        <w:trPr>
          <w:cantSplit/>
        </w:trPr>
        <w:tc>
          <w:tcPr>
            <w:tcW w:type="dxa" w:w="474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新体验用户</w:t>
            </w:r>
          </w:p>
        </w:tc>
        <w:tc>
          <w:tcPr>
            <w:tcW w:type="dxa" w:w="2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  <w:jc w:val="center"/>
            </w:pPr>
            <w:r>
              <w:rPr>
                <w:sz w:val="20"/>
              </w:rPr>
              <w:t>1,000 人</w:t>
            </w:r>
          </w:p>
        </w:tc>
        <w:tc>
          <w:tcPr>
            <w:tcW w:type="dxa" w:w="2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  <w:jc w:val="center"/>
            </w:pPr>
            <w:r>
              <w:rPr>
                <w:sz w:val="20"/>
              </w:rPr>
              <w:t>1,000 人</w:t>
            </w:r>
          </w:p>
        </w:tc>
      </w:tr>
      <w:tr>
        <w:trPr>
          <w:cantSplit/>
        </w:trPr>
        <w:tc>
          <w:tcPr>
            <w:tcW w:type="dxa" w:w="474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付费比例</w:t>
            </w:r>
          </w:p>
        </w:tc>
        <w:tc>
          <w:tcPr>
            <w:tcW w:type="dxa" w:w="2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  <w:jc w:val="center"/>
            </w:pPr>
            <w:r>
              <w:rPr>
                <w:sz w:val="20"/>
              </w:rPr>
              <w:t>5%</w:t>
            </w:r>
          </w:p>
        </w:tc>
        <w:tc>
          <w:tcPr>
            <w:tcW w:type="dxa" w:w="2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  <w:jc w:val="center"/>
            </w:pPr>
            <w:r>
              <w:rPr>
                <w:sz w:val="20"/>
              </w:rPr>
              <w:t>5%</w:t>
            </w:r>
          </w:p>
        </w:tc>
      </w:tr>
      <w:tr>
        <w:trPr>
          <w:cantSplit/>
        </w:trPr>
        <w:tc>
          <w:tcPr>
            <w:tcW w:type="dxa" w:w="474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每人一次免费体验成本</w:t>
            </w:r>
          </w:p>
        </w:tc>
        <w:tc>
          <w:tcPr>
            <w:tcW w:type="dxa" w:w="2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  <w:jc w:val="center"/>
            </w:pPr>
            <w:r>
              <w:rPr>
                <w:sz w:val="20"/>
              </w:rPr>
              <w:t>$0.10</w:t>
            </w:r>
          </w:p>
        </w:tc>
        <w:tc>
          <w:tcPr>
            <w:tcW w:type="dxa" w:w="2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  <w:jc w:val="center"/>
            </w:pPr>
            <w:r>
              <w:rPr>
                <w:sz w:val="20"/>
              </w:rPr>
              <w:t>$0.30</w:t>
            </w:r>
          </w:p>
        </w:tc>
      </w:tr>
      <w:tr>
        <w:trPr>
          <w:cantSplit/>
        </w:trPr>
        <w:tc>
          <w:tcPr>
            <w:tcW w:type="dxa" w:w="474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每名付费用户购买金额</w:t>
            </w:r>
          </w:p>
        </w:tc>
        <w:tc>
          <w:tcPr>
            <w:tcW w:type="dxa" w:w="2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  <w:jc w:val="center"/>
            </w:pPr>
            <w:r>
              <w:rPr>
                <w:sz w:val="20"/>
              </w:rPr>
              <w:t>$4.99</w:t>
            </w:r>
          </w:p>
        </w:tc>
        <w:tc>
          <w:tcPr>
            <w:tcW w:type="dxa" w:w="2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  <w:jc w:val="center"/>
            </w:pPr>
            <w:r>
              <w:rPr>
                <w:sz w:val="20"/>
              </w:rPr>
              <w:t>$4.99</w:t>
            </w:r>
          </w:p>
        </w:tc>
      </w:tr>
      <w:tr>
        <w:trPr>
          <w:cantSplit/>
        </w:trPr>
        <w:tc>
          <w:tcPr>
            <w:tcW w:type="dxa" w:w="474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示例平台抽成</w:t>
            </w:r>
          </w:p>
        </w:tc>
        <w:tc>
          <w:tcPr>
            <w:tcW w:type="dxa" w:w="2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  <w:jc w:val="center"/>
            </w:pPr>
            <w:r>
              <w:rPr>
                <w:sz w:val="20"/>
              </w:rPr>
              <w:t>15%</w:t>
            </w:r>
          </w:p>
        </w:tc>
        <w:tc>
          <w:tcPr>
            <w:tcW w:type="dxa" w:w="2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  <w:jc w:val="center"/>
            </w:pPr>
            <w:r>
              <w:rPr>
                <w:sz w:val="20"/>
              </w:rPr>
              <w:t>15%</w:t>
            </w:r>
          </w:p>
        </w:tc>
      </w:tr>
      <w:tr>
        <w:trPr>
          <w:cantSplit/>
        </w:trPr>
        <w:tc>
          <w:tcPr>
            <w:tcW w:type="dxa" w:w="474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每名付费用户交付 5 张，每张综合生成成本 $0.125</w:t>
            </w:r>
          </w:p>
        </w:tc>
        <w:tc>
          <w:tcPr>
            <w:tcW w:type="dxa" w:w="2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  <w:jc w:val="center"/>
            </w:pPr>
            <w:r>
              <w:rPr>
                <w:sz w:val="20"/>
              </w:rPr>
              <w:t>$0.625</w:t>
            </w:r>
          </w:p>
        </w:tc>
        <w:tc>
          <w:tcPr>
            <w:tcW w:type="dxa" w:w="2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  <w:jc w:val="center"/>
            </w:pPr>
            <w:r>
              <w:rPr>
                <w:sz w:val="20"/>
              </w:rPr>
              <w:t>$0.625</w:t>
            </w:r>
          </w:p>
        </w:tc>
      </w:tr>
      <w:tr>
        <w:trPr>
          <w:cantSplit/>
        </w:trPr>
        <w:tc>
          <w:tcPr>
            <w:tcW w:type="dxa" w:w="474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免费成本分摊到每名付费用户</w:t>
            </w:r>
          </w:p>
        </w:tc>
        <w:tc>
          <w:tcPr>
            <w:tcW w:type="dxa" w:w="2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  <w:jc w:val="center"/>
            </w:pPr>
            <w:r>
              <w:rPr>
                <w:sz w:val="20"/>
              </w:rPr>
              <w:t>$2.00</w:t>
            </w:r>
          </w:p>
        </w:tc>
        <w:tc>
          <w:tcPr>
            <w:tcW w:type="dxa" w:w="2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  <w:jc w:val="center"/>
            </w:pPr>
            <w:r>
              <w:rPr>
                <w:sz w:val="20"/>
              </w:rPr>
              <w:t>$6.00</w:t>
            </w:r>
          </w:p>
        </w:tc>
      </w:tr>
      <w:tr>
        <w:trPr>
          <w:cantSplit/>
        </w:trPr>
        <w:tc>
          <w:tcPr>
            <w:tcW w:type="dxa" w:w="474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扣平台、生成与体验后余额</w:t>
            </w:r>
          </w:p>
        </w:tc>
        <w:tc>
          <w:tcPr>
            <w:tcW w:type="dxa" w:w="2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  <w:jc w:val="center"/>
            </w:pPr>
            <w:r>
              <w:rPr>
                <w:sz w:val="20"/>
              </w:rPr>
              <w:t>$1.6165</w:t>
            </w:r>
          </w:p>
        </w:tc>
        <w:tc>
          <w:tcPr>
            <w:tcW w:type="dxa" w:w="2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  <w:jc w:val="center"/>
            </w:pPr>
            <w:r>
              <w:rPr>
                <w:sz w:val="20"/>
              </w:rPr>
              <w:t>-$2.3835</w:t>
            </w:r>
          </w:p>
        </w:tc>
      </w:tr>
    </w:tbl>
    <w:p>
      <w:pPr>
        <w:spacing w:after="20" w:before="0" w:line="240" w:lineRule="auto"/>
      </w:pPr>
      <w:r>
        <w:rPr>
          <w:sz w:val="6"/>
        </w:rPr>
      </w:r>
    </w:p>
    <w:p>
      <w:r>
        <w:t>15% 仅用于假设符合并加入 Apple Small Business Program 的情景，不代表本项目已经符合；该计划有资格及关联账号条件。[S22] 上表未扣税费差异、退款、客服、存储和广告，正数不是净利润。实际应再按适用费率做敏感性分析。</w:t>
      </w:r>
    </w:p>
    <w:p>
      <w:pPr>
        <w:pStyle w:val="Heading2"/>
      </w:pPr>
      <w:r>
        <w:t>7.4 支付与成本是不同账本</w:t>
      </w:r>
    </w:p>
    <w:p>
      <w:r>
        <w:t>用户账本记录购买、赠送、预留、结算、返还及退款调整。供应商账本记录每次尝试的使用量和费用。用户零扣费不代表供应商零成本。</w:t>
      </w:r>
    </w:p>
    <w:p>
      <w:r>
        <w:t>购买与退款处理应使用经过验证的交易信息，并测试重复通知、通知迟到、失败补偿与账号迁移。Apple 提供相关服务器与退款处理能力；具体接入以实施时的接口文档为准。[S27]</w:t>
      </w:r>
    </w:p>
    <w:p>
      <w:pPr>
        <w:pStyle w:val="Heading2"/>
      </w:pPr>
      <w:r>
        <w:t>7.5 防滥用不等于偷偷做设备指纹</w:t>
      </w:r>
    </w:p>
    <w:p>
      <w:r>
        <w:t>原生端可评估 App Attest、服务端预算与速率限制，不能把任意浏览器属性拼成设备身份。Apple 明确限制设备指纹做法；App Attest 也应作为风险信号而不是一键封禁所有异常用户的依据。[S23][S24]</w:t>
      </w:r>
    </w:p>
    <w:p>
      <w:r>
        <w:t>保留合法用户重装、换机和网络异常的恢复通道。拒绝广告追踪不应成为不能使用已购买创作功能的理由。</w:t>
      </w:r>
    </w:p>
    <w:p>
      <w:pPr>
        <w:pStyle w:val="Heading1"/>
      </w:pPr>
      <w:r>
        <w:t>08 获客、留存与品牌表达</w:t>
      </w:r>
    </w:p>
    <w:p>
      <w:pPr>
        <w:pStyle w:val="Heading2"/>
      </w:pPr>
      <w:r>
        <w:t>8.1 先验证三种表达，而不是同时做三种产品</w:t>
      </w:r>
    </w:p>
    <w:p>
      <w:r>
        <w:t>方案 A：普通车也能更好看。突出真实普通车的前后效果。方案 B：先看看新颜色和轮毂。突出明确、可控的单项任务。方案 C：做一张属于自己车的作品。突出对比卡与分享。</w:t>
      </w:r>
    </w:p>
    <w:p>
      <w:r>
        <w:t>这三者是获客假设。广告与首页落点应对应同一能力；宣传只换色就不要把用户带进必须整车改装的路径。不得用应用难以复现的优选图片冒充典型结果。</w:t>
      </w:r>
    </w:p>
    <w:p>
      <w:pPr>
        <w:pStyle w:val="Heading2"/>
      </w:pPr>
      <w:r>
        <w:t>8.2 原生商店工具怎样使用</w:t>
      </w:r>
    </w:p>
    <w:p>
      <w:r>
        <w:t>Apple 产品页面优化适合随机比较截图、图标与预览；自定产品页面适合按不同入口呈现不同内容并连接应用内目的地。[S25][S28] 分渠道落地页的数据差异不天然具有随机实验的因果意义。</w:t>
      </w:r>
    </w:p>
    <w:p>
      <w:r>
        <w:t>不要只选下载最多的方案。继续观察这些用户是否上传有效图片、得到合格结果、主动收藏或分享、再次非纠错创作，以及是否退款。</w:t>
      </w:r>
    </w:p>
    <w:p>
      <w:pPr>
        <w:pStyle w:val="Heading2"/>
      </w:pPr>
      <w:r>
        <w:t>8.3 留存不是强迫每天回来</w:t>
      </w:r>
    </w:p>
    <w:p>
      <w:r>
        <w:t>建议把主价值定义为高质量创作会话，而非日活时长。用户完成一个方案后离开，不一定是产品失败。更合理的复用包括比较另一方案、换一张照片、将配方用到另一辆车，或收到朋友对作品的反馈。</w:t>
      </w:r>
    </w:p>
    <w:p>
      <w:r>
        <w:t>车库应方便继续，不应要求每天签到才能查看已有作品。通知聚焦任务完成、明确订阅的内容与真实相关事件，不使用“你的车有新问题”之类无依据的召回。</w:t>
      </w:r>
    </w:p>
    <w:p>
      <w:pPr>
        <w:pStyle w:val="Heading2"/>
      </w:pPr>
      <w:r>
        <w:t>8.4 首版不依赖开放社区</w:t>
      </w:r>
    </w:p>
    <w:p>
      <w:r>
        <w:t>先做可选择分享、方案卡与参数复用。分享链接默认不暴露原图和私人数据。需要公开社区时，另行设计审核、举报、屏蔽和运营机制，不把这些成本塞进第一版。</w:t>
      </w:r>
    </w:p>
    <w:p>
      <w:r>
        <w:t>品牌 FORM 的可用性、商标与素材授权需独立核查。不要因为开源代码许可证齐全，就认为案例图片也可以用于商业宣传；仓库的开源说明已指出示例照片授权尚未独立核实。[R07]</w:t>
      </w:r>
    </w:p>
    <w:p>
      <w:pPr>
        <w:pStyle w:val="Heading2"/>
      </w:pPr>
      <w:r>
        <w:t>8.5 站外获客：围绕具体任务组织内容</w:t>
      </w:r>
    </w:p>
    <w:p>
      <w:r>
        <w:t>Car AI 的开发者网站设置了改色、轮毂、风格、工具、教程与竞品对比页面，并从内容页连接商店。[S33] 这是可核验的内容分发方式，不是其搜索排名、流量或收入证据。开发者自写的比较文章也不能作为独立产品排名引用。</w:t>
      </w:r>
    </w:p>
    <w:p>
      <w:r>
        <w:t>FORM 可先测试少量围绕真实任务的内容：看铜色轮毂在自己车上的效果、比较亮面和哑光方向、拍摄适合改图的车辆照片。上述主题是关键词假设，未核验搜索量。每页使用授权案例，说明适用边界，并把入口连接到对应单项修改或风格，不让用户下载后重新找功能。</w:t>
      </w:r>
    </w:p>
    <w:p>
      <w:r>
        <w:t>不要首发制造数百个重复页面。优先测从内容访问、到商店、到有效创作的可观测链路；跨站归因不足时注明缺失，不用设备指纹补数据。宣传必须与当前开放能力一致。</w:t>
      </w:r>
    </w:p>
    <w:p>
      <w:pPr>
        <w:pStyle w:val="Heading1"/>
      </w:pPr>
      <w:r>
        <w:t>09 原生体验、隐私与运营</w:t>
      </w:r>
    </w:p>
    <w:p>
      <w:pPr>
        <w:pStyle w:val="Heading2"/>
      </w:pPr>
      <w:r>
        <w:t>9.1 上架不是把浏览器地址放进容器</w:t>
      </w:r>
    </w:p>
    <w:p>
      <w:r>
        <w:t>可以保留 React 业务界面，但相册、相机、分享、文件导出、购买、账号恢复、安全区域、大字体、屏幕阅读和前后台恢复都应有真正可用的 iOS 流程。WebKit 与 iPhone 真机验证不能由 Chromium 手机尺寸截图替代。[R01]</w:t>
      </w:r>
    </w:p>
    <w:p>
      <w:r>
        <w:t>原生容器请求 API 的来源与 Cookie 行为不同，必须设计认证与跨源策略。不能为了快速跑通而放开所有来源，或把服务端密钥放进客户端。</w:t>
      </w:r>
    </w:p>
    <w:p>
      <w:pPr>
        <w:pStyle w:val="Heading2"/>
      </w:pPr>
      <w:r>
        <w:t>9.2 清楚的照片生命周期</w:t>
      </w:r>
    </w:p>
    <w:p>
      <w:r>
        <w:t>记录用户何时选择、何时上传、何时发送第三方、何时生成、何时删除。未完成上传、任务中间文件、用户保存作品及备份应该有分别明确的保留策略。</w:t>
      </w:r>
    </w:p>
    <w:p>
      <w:r>
        <w:t>设置页提供删除车辆、删除账号、撤回未来处理同意和管理购买的清楚入口。财务保留记录与作品图像分开处理；适用法律要求的最小账务留存，不等于永久保存所有照片。</w:t>
      </w:r>
    </w:p>
    <w:p>
      <w:pPr>
        <w:pStyle w:val="Heading2"/>
      </w:pPr>
      <w:r>
        <w:t>9.3 不训练与不留存不是同一件事</w:t>
      </w:r>
    </w:p>
    <w:p>
      <w:r>
        <w:t>以当前 OpenAI API 文档为例，默认不将 API 数据用于训练，不代表没有日志保留；日志、应用状态与特殊安全处理有不同规则。[S29] 实际供应商、端点、配置与中转服务需要逐项核验，隐私政策不能只写笼统的“AI 不存照片”。</w:t>
      </w:r>
    </w:p>
    <w:p>
      <w:r>
        <w:t>更换供应商时，应检查原有同意是否覆盖新的处理方与用途。若不覆盖，应在发送前更新告知并取得适用许可。</w:t>
      </w:r>
    </w:p>
    <w:p>
      <w:pPr>
        <w:pStyle w:val="Heading2"/>
      </w:pPr>
      <w:r>
        <w:t>9.4 把客服变成产品的一部分</w:t>
      </w:r>
    </w:p>
    <w:p>
      <w:r>
        <w:t>失败报告自动附带任务 ID、基础图版本、模型与模板版本、耗时、错误类别及账本事件，不要求用户重复描述所有信息。上传图和个人信息不应进入公开日志或默认分享给客服之外的人。</w:t>
      </w:r>
    </w:p>
    <w:p>
      <w:r>
        <w:t>后台至少能查询任务、查看脱敏错误、核对次数、执行有审计的补偿、关闭故障风格或供应商。没有后台支持能力时，不宜大规模售卖生成次数。</w:t>
      </w:r>
    </w:p>
    <w:p>
      <w:pPr>
        <w:pStyle w:val="Heading1"/>
      </w:pPr>
      <w:r>
        <w:t>10 代码改造路线与风险</w:t>
      </w:r>
    </w:p>
    <w:p>
      <w:pPr>
        <w:pStyle w:val="Heading2"/>
      </w:pPr>
      <w:r>
        <w:t>10.1 先改契约，再改页面</w:t>
      </w:r>
    </w:p>
    <w:p>
      <w:r>
        <w:t>当前 Target 仅包含 bodyColor 与 wheelColor；intent 只有 explore/refine，项目仅有一张 originalUrl，供应商返回 Buffer。[R02][R06] 新增材质、轮毂造型、直接原图编辑和完整配方，需要让这些概念进入类型、验证、持久化、任务指纹和测试，而不是只添加 UI 状态。</w:t>
      </w:r>
    </w:p>
    <w:p>
      <w:r>
        <w:t>建议以版本化的 editPlan 表达：基础图、操作类型、本次覆盖字段、继承的期望配方、保留区域、参考图用途、输出规格、模板版本。字段名由开发确定，语义应先统一。</w:t>
      </w:r>
    </w:p>
    <w:p>
      <w:pPr>
        <w:pStyle w:val="Heading2"/>
      </w:pPr>
      <w:r>
        <w:t>10.2 十个建议任务包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DDF"/>
          <w:bottom w:val="single" w:sz="4" w:color="D3DDDF"/>
          <w:left w:val="nil" w:sz="4" w:color="D3DDDF"/>
          <w:right w:val="nil" w:sz="4" w:color="D3DDDF"/>
          <w:insideH w:val="single" w:sz="4" w:color="D3DDDF"/>
          <w:insideV w:val="nil" w:sz="4" w:color="D3DDDF"/>
        </w:tblBorders>
      </w:tblPr>
      <w:tblGrid>
        <w:gridCol w:w="2173"/>
        <w:gridCol w:w="3754"/>
        <w:gridCol w:w="3951"/>
      </w:tblGrid>
      <w:tr>
        <w:trPr>
          <w:cantSplit/>
          <w:tblHeader/>
        </w:trPr>
        <w:tc>
          <w:tcPr>
            <w:tcW w:type="dxa" w:w="217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AF0F0"/>
          </w:tcPr>
          <w:p>
            <w:pPr>
              <w:keepNext/>
              <w:spacing w:before="0" w:after="0" w:line="293" w:lineRule="auto"/>
            </w:pPr>
            <w:r>
              <w:rPr>
                <w:b/>
                <w:sz w:val="20"/>
              </w:rPr>
              <w:t>任务</w:t>
            </w:r>
          </w:p>
        </w:tc>
        <w:tc>
          <w:tcPr>
            <w:tcW w:type="dxa" w:w="375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AF0F0"/>
          </w:tcPr>
          <w:p>
            <w:pPr>
              <w:keepNext/>
              <w:spacing w:before="0" w:after="0" w:line="293" w:lineRule="auto"/>
            </w:pPr>
            <w:r>
              <w:rPr>
                <w:b/>
                <w:sz w:val="20"/>
              </w:rPr>
              <w:t>主要内容</w:t>
            </w:r>
          </w:p>
        </w:tc>
        <w:tc>
          <w:tcPr>
            <w:tcW w:type="dxa" w:w="39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AF0F0"/>
          </w:tcPr>
          <w:p>
            <w:pPr>
              <w:keepNext/>
              <w:spacing w:before="0" w:after="0" w:line="293" w:lineRule="auto"/>
            </w:pPr>
            <w:r>
              <w:rPr>
                <w:b/>
                <w:sz w:val="20"/>
              </w:rPr>
              <w:t>完成证据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T01 基线与迁移</w:t>
            </w:r>
          </w:p>
        </w:tc>
        <w:tc>
          <w:tcPr>
            <w:tcW w:type="dxa" w:w="375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记录版本，补兼容迁移与历史样本</w:t>
            </w:r>
          </w:p>
        </w:tc>
        <w:tc>
          <w:tcPr>
            <w:tcW w:type="dxa" w:w="39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旧项目、版本与额度不丢失。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T02 编辑契约</w:t>
            </w:r>
          </w:p>
        </w:tc>
        <w:tc>
          <w:tcPr>
            <w:tcW w:type="dxa" w:w="375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区分原图编辑、整车探索、版本微调</w:t>
            </w:r>
          </w:p>
        </w:tc>
        <w:tc>
          <w:tcPr>
            <w:tcW w:type="dxa" w:w="39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三类基础图、Keep current、恢复原图测试通过。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T03 供应商与成本</w:t>
            </w:r>
          </w:p>
        </w:tc>
        <w:tc>
          <w:tcPr>
            <w:tcW w:type="dxa" w:w="375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结构化返回、参数能力、错误分类</w:t>
            </w:r>
          </w:p>
        </w:tc>
        <w:tc>
          <w:tcPr>
            <w:tcW w:type="dxa" w:w="39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可追溯请求、耗时、规格、使用量；密钥不入客户端。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T04 质量与素材</w:t>
            </w:r>
          </w:p>
        </w:tc>
        <w:tc>
          <w:tcPr>
            <w:tcW w:type="dxa" w:w="375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评测集、盲评、四方向能力开关</w:t>
            </w:r>
          </w:p>
        </w:tc>
        <w:tc>
          <w:tcPr>
            <w:tcW w:type="dxa" w:w="39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原始结果和失败被保留，授权记录完整。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T05 首次流程</w:t>
            </w:r>
          </w:p>
        </w:tc>
        <w:tc>
          <w:tcPr>
            <w:tcW w:type="dxa" w:w="375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案例直达、单项入口、本地选图、同意</w:t>
            </w:r>
          </w:p>
        </w:tc>
        <w:tc>
          <w:tcPr>
            <w:tcW w:type="dxa" w:w="39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无隐性生成；关键动作可测；拒绝权限可恢复。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T06 结果与车库</w:t>
            </w:r>
          </w:p>
        </w:tc>
        <w:tc>
          <w:tcPr>
            <w:tcW w:type="dxa" w:w="375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对比、收藏语义、封面、分支、分享</w:t>
            </w:r>
          </w:p>
        </w:tc>
        <w:tc>
          <w:tcPr>
            <w:tcW w:type="dxa" w:w="39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无额外模型调用，旧版本不变。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T07 资产管线</w:t>
            </w:r>
          </w:p>
        </w:tc>
        <w:tc>
          <w:tcPr>
            <w:tcW w:type="dxa" w:w="375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输入、母版、缩略图、输出规格分离</w:t>
            </w:r>
          </w:p>
        </w:tc>
        <w:tc>
          <w:tcPr>
            <w:tcW w:type="dxa" w:w="39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高清不被悄悄缩小，错误文案准确。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T08 身份与内购</w:t>
            </w:r>
          </w:p>
        </w:tc>
        <w:tc>
          <w:tcPr>
            <w:tcW w:type="dxa" w:w="375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稳定账号、交易验证、余额与退款</w:t>
            </w:r>
          </w:p>
        </w:tc>
        <w:tc>
          <w:tcPr>
            <w:tcW w:type="dxa" w:w="39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重装换机、重复通知与并发消费验证。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T09 原生与隐私</w:t>
            </w:r>
          </w:p>
        </w:tc>
        <w:tc>
          <w:tcPr>
            <w:tcW w:type="dxa" w:w="375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相册分享、前后台、删除、策略记录</w:t>
            </w:r>
          </w:p>
        </w:tc>
        <w:tc>
          <w:tcPr>
            <w:tcW w:type="dxa" w:w="39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iPhone 真机及完整删除链路证据。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T10 运营与发布</w:t>
            </w:r>
          </w:p>
        </w:tc>
        <w:tc>
          <w:tcPr>
            <w:tcW w:type="dxa" w:w="375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指标、预算、限流、客服、能力熔断</w:t>
            </w:r>
          </w:p>
        </w:tc>
        <w:tc>
          <w:tcPr>
            <w:tcW w:type="dxa" w:w="39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sz w:val="20"/>
              </w:rPr>
              <w:t>小流量问题可定位、可止损、可恢复。</w:t>
            </w:r>
          </w:p>
        </w:tc>
      </w:tr>
    </w:tbl>
    <w:p>
      <w:pPr>
        <w:spacing w:after="20" w:before="0" w:line="240" w:lineRule="auto"/>
      </w:pPr>
      <w:r>
        <w:rPr>
          <w:sz w:val="6"/>
        </w:rPr>
      </w:r>
    </w:p>
    <w:p>
      <w:pPr>
        <w:pStyle w:val="Heading2"/>
      </w:pPr>
      <w:r>
        <w:t>10.3 优先保留现有基础</w:t>
      </w:r>
    </w:p>
    <w:p>
      <w:r>
        <w:t>继续使用现有 React、API 和任务不变量，不为上架先重写整个项目。SQLite 可用于明确限制的单实例内测，但需有持久化、备份、恢复和容量规划。准备多进程前，先解决任务领取与结算的跨进程一致性。</w:t>
      </w:r>
    </w:p>
    <w:p>
      <w:r>
        <w:t>将大型 App 组件逐步拆为页面和任务、草稿、车库相关逻辑，避免在新增支付、图片编辑与原生桥接时继续集中堆积。拆分应保持用户行为不变，并配合回归测试。</w:t>
      </w:r>
    </w:p>
    <w:p>
      <w:pPr>
        <w:pStyle w:val="Heading2"/>
      </w:pPr>
      <w:r>
        <w:t>10.4 必须新增的边界测试</w:t>
      </w:r>
    </w:p>
    <w:p>
      <w:r>
        <w:t>重复点击只创建一个逻辑任务；请求超时重发不重复扣费；取消与迟到结果竞争不产生额外版本；重启后不盲目重发供应商；旧版本微调不误用最新图；不改字段不成为收费修改；原图单项编辑不用先购买整车风格；失败返还一次；删除后不能通过旧 URL 访问；不同账号资源隔离；输出规格与导出一致。</w:t>
      </w:r>
    </w:p>
    <w:p>
      <w:r>
        <w:t>支付另测购买成功但客户端断网、通知重复及乱序、退款后余额更新、已有购买与新账号关联、设备更换、游客迁移、异常支持恢复。不要把未经测试的“恢复购买”按钮当成恢复机制。</w:t>
      </w:r>
    </w:p>
    <w:p>
      <w:pPr>
        <w:pStyle w:val="Heading1"/>
      </w:pPr>
      <w:r>
        <w:t>11 调研、评测与指标执行协议</w:t>
      </w:r>
    </w:p>
    <w:p>
      <w:pPr>
        <w:pStyle w:val="Heading2"/>
      </w:pPr>
      <w:r>
        <w:t>11.1 真实模型技术评测</w:t>
      </w:r>
    </w:p>
    <w:p>
      <w:r>
        <w:t>建议先准备 18 张获得授权的车辆照片，覆盖六类车身与不同光线、角度。三个任务是只改车色、只改轮毂方向或颜色、整车风格。选择三种候选配置进行同题比较：18 × 3 × 3 = 162 个首次输出。</w:t>
      </w:r>
    </w:p>
    <w:p>
      <w:r>
        <w:t>再选其中六辆车，每种配置连续编辑三轮：6 × 3 × 3 = 54 个输出。总计 216 个计划输出，另有输入预处理、质量检查及必要失败成本。该数量是评测计划，不是本轮已经生成的图片或已授权消费。</w:t>
      </w:r>
    </w:p>
    <w:p>
      <w:r>
        <w:t>先核算上限与预算，选择小样确认流程后再批量执行。保留首次结果；不偷偷丢弃失败，或把多次最佳图当成一次结果。固定任务意图，但允许各供应商使用其合法、等效的必要参数；记录差异。</w:t>
      </w:r>
    </w:p>
    <w:p>
      <w:pPr>
        <w:pStyle w:val="Heading2"/>
      </w:pPr>
      <w:r>
        <w:t>11.2 评审表</w:t>
      </w:r>
    </w:p>
    <w:p>
      <w:r>
        <w:t>每条记录包括源图、操作、候选配置、实际模型版本、模板版本、轮次、返回尺寸、耗时、费用是否已知、技术状态、身份错误、目标执行、非目标变化、主观保留意愿与评审者。</w:t>
      </w:r>
    </w:p>
    <w:p>
      <w:r>
        <w:t>身份检查根据任务定义：改轮毂样式不算轮毂几何保持失败，但车灯被换型算。两名评审独立查看，分歧留存并讨论；用户审美评价不由技术检查替代。</w:t>
      </w:r>
    </w:p>
    <w:p>
      <w:r>
        <w:t>重复样本与同一辆车的多轮结果不是完全独立的用户样本。小样本结果要报告分母与不确定性，不能只用百分比包装结论。</w:t>
      </w:r>
    </w:p>
    <w:p>
      <w:pPr>
        <w:pStyle w:val="Heading2"/>
      </w:pPr>
      <w:r>
        <w:t>11.3 竞品真机对照</w:t>
      </w:r>
    </w:p>
    <w:p>
      <w:r>
        <w:t>从 Mody、Driftshot 和 FORM 开始；使用同一组授权照片、同一可比任务，记录新用户完整路径、实际付费墙、第一次有效结果、等待、补救、导出和取消订阅位置。不支持的任务标为不适用，不能强迫比较。</w:t>
      </w:r>
    </w:p>
    <w:p>
      <w:r>
        <w:t>区分默认首轮与有限次数最佳结果。训练型流程单列前置照片与训练成本；不能用其多图训练成果直接对比 FORM 的单图入口而隐藏代价。</w:t>
      </w:r>
    </w:p>
    <w:p>
      <w:pPr>
        <w:pStyle w:val="Heading2"/>
      </w:pPr>
      <w:r>
        <w:t>11.4 首批用户研究</w:t>
      </w:r>
    </w:p>
    <w:p>
      <w:r>
        <w:t>建议先找 12 至 16 位真实车主作定性测试，一部分没有明确改装计划，一部分有颜色或轮毂目标。观察首次使用，不提前教学，不以评价好坏发放奖励。</w:t>
      </w:r>
    </w:p>
    <w:p>
      <w:r>
        <w:t>先问近期行为和具体任务，再观察试用；不要只问“你喜欢吗”和“你愿意花多少钱”。记录他们在哪一步犹豫、是否认出自己的车、为什么收藏、为什么重试，以及付费页理解是否准确。此规模用于发现问题，不足以估计全市场转化率。</w:t>
      </w:r>
    </w:p>
    <w:p>
      <w:pPr>
        <w:pStyle w:val="Heading2"/>
      </w:pPr>
      <w:r>
        <w:t>11.5 指标定义</w:t>
      </w:r>
    </w:p>
    <w:p>
      <w:r>
        <w:t>首图合格率：首个任务交付且通过预先定义的任务与身份标准的用户，占开始有效生成的用户。并行报告上传至合格结果漏斗，不能因排除失败上传而美化全流程。</w:t>
      </w:r>
    </w:p>
    <w:p>
      <w:r>
        <w:t>有价值作品率：主动收藏、成功导出或明确保留反馈之一；三个事件分别保留，不能用自动保存代替。系统分享弹窗打开不等于真实分享成功。</w:t>
      </w:r>
    </w:p>
    <w:p>
      <w:r>
        <w:t>非纠错再次创作率：为了探索其他方向而新建的任务，与 Retry、质量补救分开。还应记录单位合格作品成本、免费体验分摊、退款、客服请求和质量问题集中位置。</w:t>
      </w:r>
    </w:p>
    <w:p>
      <w:r>
        <w:t>时延报告中位数与较慢分位数；失败与超时单列，不能只统计成功请求。付费转化和收入必须带上人群、窗口、币种与退款口径。</w:t>
      </w:r>
    </w:p>
    <w:p>
      <w:pPr>
        <w:pStyle w:val="Heading1"/>
      </w:pPr>
      <w:r>
        <w:t>12 建议推进关卡</w:t>
      </w:r>
    </w:p>
    <w:p>
      <w:r>
        <w:rPr>
          <w:b/>
        </w:rPr>
        <w:t>关卡 A：核心价值成立。</w:t>
      </w:r>
      <w:r>
        <w:t xml:space="preserve"> 有授权的真实案例，明确支持范围，至少一类颜色之外的外观变化获得验证。普通用户能看见变化，车辆身份与非目标部位不频繁失真。</w:t>
      </w:r>
    </w:p>
    <w:p>
      <w:r>
        <w:rPr>
          <w:b/>
        </w:rPr>
        <w:t>关卡 B：首次流程成立。</w:t>
      </w:r>
      <w:r>
        <w:t xml:space="preserve"> 不需讲解即可完成，原图与历史不丢，结果比较清楚，失败补救合理，单项修改不强迫多买一次整车生成。</w:t>
      </w:r>
    </w:p>
    <w:p>
      <w:r>
        <w:rPr>
          <w:b/>
        </w:rPr>
        <w:t>关卡 C：收费闭环成立。</w:t>
      </w:r>
      <w:r>
        <w:t xml:space="preserve"> 实际权益与文案一致，购买与恢复可靠，成本和试用预算可控，退款与客服可处理。</w:t>
      </w:r>
    </w:p>
    <w:p>
      <w:r>
        <w:rPr>
          <w:b/>
        </w:rPr>
        <w:t>关卡 D：上架与运营成立。</w:t>
      </w:r>
      <w:r>
        <w:t xml:space="preserve"> 真机验证、隐私告知、删除、授权素材、真实截图及支持渠道完成；线上发生问题能停止新增损失，不影响用户取回已有作品。</w:t>
      </w:r>
    </w:p>
    <w:p>
      <w:r>
        <w:t>未通过前一关时，优先缩小能力和宣传范围，而不是加更多功能掩盖。第一版的成功标准不是菜单数量，而是用户得到可信、好看、愿意留下的自己的车。</w:t>
      </w:r>
    </w:p>
    <w:p>
      <w:pPr>
        <w:pStyle w:val="Heading1"/>
        <w:pageBreakBefore w:val="0"/>
      </w:pPr>
      <w:r>
        <w:t>附录 A 来源目录</w:t>
      </w:r>
    </w:p>
    <w:p>
      <w:r>
        <w:t>以下外部页面核验日期为 2026-10-11。商店价格与评分是地区快照；评论所述经历可能早于当前版本。不同页面的相同评论没有重复计算为独立证据。</w:t>
      </w:r>
    </w:p>
    <w:p>
      <w:pPr>
        <w:spacing w:line="288" w:lineRule="auto" w:after="80"/>
      </w:pPr>
      <w:r>
        <w:rPr>
          <w:sz w:val="19"/>
        </w:rPr>
        <w:t xml:space="preserve">[S01] Mody，美区 App Store。  </w:t>
      </w:r>
      <w:hyperlink r:id="rId11">
        <w:r>
          <w:rPr>
            <w:rFonts w:ascii="Noto Sans CJK SC" w:hAnsi="Noto Sans CJK SC" w:eastAsia="Noto Sans CJK SC"/>
            <w:color w:val="19636A"/>
            <w:sz w:val="19"/>
          </w:rPr>
          <w:t>打开来源</w:t>
        </w:r>
      </w:hyperlink>
    </w:p>
    <w:p>
      <w:pPr>
        <w:spacing w:line="288" w:lineRule="auto" w:after="80"/>
      </w:pPr>
      <w:r>
        <w:rPr>
          <w:sz w:val="19"/>
        </w:rPr>
        <w:t xml:space="preserve">[S02] Driftshot，美区 App Store。  </w:t>
      </w:r>
      <w:hyperlink r:id="rId12">
        <w:r>
          <w:rPr>
            <w:rFonts w:ascii="Noto Sans CJK SC" w:hAnsi="Noto Sans CJK SC" w:eastAsia="Noto Sans CJK SC"/>
            <w:color w:val="19636A"/>
            <w:sz w:val="19"/>
          </w:rPr>
          <w:t>打开来源</w:t>
        </w:r>
      </w:hyperlink>
    </w:p>
    <w:p>
      <w:pPr>
        <w:spacing w:line="288" w:lineRule="auto" w:after="80"/>
      </w:pPr>
      <w:r>
        <w:rPr>
          <w:sz w:val="19"/>
        </w:rPr>
        <w:t xml:space="preserve">[S03] Driftshot，美区公开评论。  </w:t>
      </w:r>
      <w:hyperlink r:id="rId13">
        <w:r>
          <w:rPr>
            <w:rFonts w:ascii="Noto Sans CJK SC" w:hAnsi="Noto Sans CJK SC" w:eastAsia="Noto Sans CJK SC"/>
            <w:color w:val="19636A"/>
            <w:sz w:val="19"/>
          </w:rPr>
          <w:t>打开来源</w:t>
        </w:r>
      </w:hyperlink>
    </w:p>
    <w:p>
      <w:pPr>
        <w:spacing w:line="288" w:lineRule="auto" w:after="80"/>
      </w:pPr>
      <w:r>
        <w:rPr>
          <w:sz w:val="19"/>
        </w:rPr>
        <w:t xml:space="preserve">[S04] Wrapr，美区 App Store。  </w:t>
      </w:r>
      <w:hyperlink r:id="rId14">
        <w:r>
          <w:rPr>
            <w:rFonts w:ascii="Noto Sans CJK SC" w:hAnsi="Noto Sans CJK SC" w:eastAsia="Noto Sans CJK SC"/>
            <w:color w:val="19636A"/>
            <w:sz w:val="19"/>
          </w:rPr>
          <w:t>打开来源</w:t>
        </w:r>
      </w:hyperlink>
    </w:p>
    <w:p>
      <w:pPr>
        <w:spacing w:line="288" w:lineRule="auto" w:after="80"/>
      </w:pPr>
      <w:r>
        <w:rPr>
          <w:sz w:val="19"/>
        </w:rPr>
        <w:t xml:space="preserve">[S05] Car AI，美区 App Store。  </w:t>
      </w:r>
      <w:hyperlink r:id="rId15">
        <w:r>
          <w:rPr>
            <w:rFonts w:ascii="Noto Sans CJK SC" w:hAnsi="Noto Sans CJK SC" w:eastAsia="Noto Sans CJK SC"/>
            <w:color w:val="19636A"/>
            <w:sz w:val="19"/>
          </w:rPr>
          <w:t>打开来源</w:t>
        </w:r>
      </w:hyperlink>
    </w:p>
    <w:p>
      <w:pPr>
        <w:spacing w:line="288" w:lineRule="auto" w:after="80"/>
      </w:pPr>
      <w:r>
        <w:rPr>
          <w:sz w:val="19"/>
        </w:rPr>
        <w:t xml:space="preserve">[S06] Rimo，美区 App Store。  </w:t>
      </w:r>
      <w:hyperlink r:id="rId16">
        <w:r>
          <w:rPr>
            <w:rFonts w:ascii="Noto Sans CJK SC" w:hAnsi="Noto Sans CJK SC" w:eastAsia="Noto Sans CJK SC"/>
            <w:color w:val="19636A"/>
            <w:sz w:val="19"/>
          </w:rPr>
          <w:t>打开来源</w:t>
        </w:r>
      </w:hyperlink>
    </w:p>
    <w:p>
      <w:pPr>
        <w:spacing w:line="288" w:lineRule="auto" w:after="80"/>
      </w:pPr>
      <w:r>
        <w:rPr>
          <w:sz w:val="19"/>
        </w:rPr>
        <w:t xml:space="preserve">[S07] CarVisionAI，美区 App Store。  </w:t>
      </w:r>
      <w:hyperlink r:id="rId17">
        <w:r>
          <w:rPr>
            <w:rFonts w:ascii="Noto Sans CJK SC" w:hAnsi="Noto Sans CJK SC" w:eastAsia="Noto Sans CJK SC"/>
            <w:color w:val="19636A"/>
            <w:sz w:val="19"/>
          </w:rPr>
          <w:t>打开来源</w:t>
        </w:r>
      </w:hyperlink>
    </w:p>
    <w:p>
      <w:pPr>
        <w:spacing w:line="288" w:lineRule="auto" w:after="80"/>
      </w:pPr>
      <w:r>
        <w:rPr>
          <w:sz w:val="19"/>
        </w:rPr>
        <w:t xml:space="preserve">[S08] CarVisionAI，开发者网站。  </w:t>
      </w:r>
      <w:hyperlink r:id="rId18">
        <w:r>
          <w:rPr>
            <w:rFonts w:ascii="Noto Sans CJK SC" w:hAnsi="Noto Sans CJK SC" w:eastAsia="Noto Sans CJK SC"/>
            <w:color w:val="19636A"/>
            <w:sz w:val="19"/>
          </w:rPr>
          <w:t>打开来源</w:t>
        </w:r>
      </w:hyperlink>
    </w:p>
    <w:p>
      <w:pPr>
        <w:spacing w:line="288" w:lineRule="auto" w:after="80"/>
      </w:pPr>
      <w:r>
        <w:rPr>
          <w:sz w:val="19"/>
        </w:rPr>
        <w:t xml:space="preserve">[S09] MOTORMIA，美区 App Store 及公开评论。  </w:t>
      </w:r>
      <w:hyperlink r:id="rId19">
        <w:r>
          <w:rPr>
            <w:rFonts w:ascii="Noto Sans CJK SC" w:hAnsi="Noto Sans CJK SC" w:eastAsia="Noto Sans CJK SC"/>
            <w:color w:val="19636A"/>
            <w:sz w:val="19"/>
          </w:rPr>
          <w:t>打开来源</w:t>
        </w:r>
      </w:hyperlink>
    </w:p>
    <w:p>
      <w:pPr>
        <w:spacing w:line="288" w:lineRule="auto" w:after="80"/>
      </w:pPr>
      <w:r>
        <w:rPr>
          <w:sz w:val="19"/>
        </w:rPr>
        <w:t xml:space="preserve">[S10] 3DTuning，官方网站。  </w:t>
      </w:r>
      <w:hyperlink r:id="rId20">
        <w:r>
          <w:rPr>
            <w:rFonts w:ascii="Noto Sans CJK SC" w:hAnsi="Noto Sans CJK SC" w:eastAsia="Noto Sans CJK SC"/>
            <w:color w:val="19636A"/>
            <w:sz w:val="19"/>
          </w:rPr>
          <w:t>打开来源</w:t>
        </w:r>
      </w:hyperlink>
    </w:p>
    <w:p>
      <w:pPr>
        <w:spacing w:line="288" w:lineRule="auto" w:after="80"/>
      </w:pPr>
      <w:r>
        <w:rPr>
          <w:sz w:val="19"/>
        </w:rPr>
        <w:t xml:space="preserve">[S11] Tire Rack，轮毂与车辆可视化。  </w:t>
      </w:r>
      <w:hyperlink r:id="rId21">
        <w:r>
          <w:rPr>
            <w:rFonts w:ascii="Noto Sans CJK SC" w:hAnsi="Noto Sans CJK SC" w:eastAsia="Noto Sans CJK SC"/>
            <w:color w:val="19636A"/>
            <w:sz w:val="19"/>
          </w:rPr>
          <w:t>打开来源</w:t>
        </w:r>
      </w:hyperlink>
    </w:p>
    <w:p>
      <w:pPr>
        <w:spacing w:line="288" w:lineRule="auto" w:after="80"/>
      </w:pPr>
      <w:r>
        <w:rPr>
          <w:sz w:val="19"/>
        </w:rPr>
        <w:t xml:space="preserve">[S12] Avery Dennison，Wrap Visualizer。  </w:t>
      </w:r>
      <w:hyperlink r:id="rId22">
        <w:r>
          <w:rPr>
            <w:rFonts w:ascii="Noto Sans CJK SC" w:hAnsi="Noto Sans CJK SC" w:eastAsia="Noto Sans CJK SC"/>
            <w:color w:val="19636A"/>
            <w:sz w:val="19"/>
          </w:rPr>
          <w:t>打开来源</w:t>
        </w:r>
      </w:hyperlink>
    </w:p>
    <w:p>
      <w:pPr>
        <w:spacing w:line="288" w:lineRule="auto" w:after="80"/>
      </w:pPr>
      <w:r>
        <w:rPr>
          <w:sz w:val="19"/>
        </w:rPr>
        <w:t xml:space="preserve">[S13] Car Rim Photo Editor，美区 App Store。  </w:t>
      </w:r>
      <w:hyperlink r:id="rId23">
        <w:r>
          <w:rPr>
            <w:rFonts w:ascii="Noto Sans CJK SC" w:hAnsi="Noto Sans CJK SC" w:eastAsia="Noto Sans CJK SC"/>
            <w:color w:val="19636A"/>
            <w:sz w:val="19"/>
          </w:rPr>
          <w:t>打开来源</w:t>
        </w:r>
      </w:hyperlink>
    </w:p>
    <w:p>
      <w:pPr>
        <w:spacing w:line="288" w:lineRule="auto" w:after="80"/>
      </w:pPr>
      <w:r>
        <w:rPr>
          <w:sz w:val="19"/>
        </w:rPr>
        <w:t xml:space="preserve">[S14] Driftshot，澳区 App Store 及公开评论。  </w:t>
      </w:r>
      <w:hyperlink r:id="rId24">
        <w:r>
          <w:rPr>
            <w:rFonts w:ascii="Noto Sans CJK SC" w:hAnsi="Noto Sans CJK SC" w:eastAsia="Noto Sans CJK SC"/>
            <w:color w:val="19636A"/>
            <w:sz w:val="19"/>
          </w:rPr>
          <w:t>打开来源</w:t>
        </w:r>
      </w:hyperlink>
    </w:p>
    <w:p>
      <w:pPr>
        <w:spacing w:line="288" w:lineRule="auto" w:after="80"/>
      </w:pPr>
      <w:r>
        <w:rPr>
          <w:sz w:val="19"/>
        </w:rPr>
        <w:t xml:space="preserve">[S15] Mody，美区公开评论。  </w:t>
      </w:r>
      <w:hyperlink r:id="rId25">
        <w:r>
          <w:rPr>
            <w:rFonts w:ascii="Noto Sans CJK SC" w:hAnsi="Noto Sans CJK SC" w:eastAsia="Noto Sans CJK SC"/>
            <w:color w:val="19636A"/>
            <w:sz w:val="19"/>
          </w:rPr>
          <w:t>打开来源</w:t>
        </w:r>
      </w:hyperlink>
    </w:p>
    <w:p>
      <w:pPr>
        <w:spacing w:line="288" w:lineRule="auto" w:after="80"/>
      </w:pPr>
      <w:r>
        <w:rPr>
          <w:sz w:val="19"/>
        </w:rPr>
        <w:t xml:space="preserve">[S16] Mody，英国 App Store。  </w:t>
      </w:r>
      <w:hyperlink r:id="rId26">
        <w:r>
          <w:rPr>
            <w:rFonts w:ascii="Noto Sans CJK SC" w:hAnsi="Noto Sans CJK SC" w:eastAsia="Noto Sans CJK SC"/>
            <w:color w:val="19636A"/>
            <w:sz w:val="19"/>
          </w:rPr>
          <w:t>打开来源</w:t>
        </w:r>
      </w:hyperlink>
    </w:p>
    <w:p>
      <w:pPr>
        <w:spacing w:line="288" w:lineRule="auto" w:after="80"/>
      </w:pPr>
      <w:r>
        <w:rPr>
          <w:sz w:val="19"/>
        </w:rPr>
        <w:t xml:space="preserve">[S17] SEMA，2026 Market Report 公开摘要，发布于 2026-06-24。  </w:t>
      </w:r>
      <w:hyperlink r:id="rId27">
        <w:r>
          <w:rPr>
            <w:rFonts w:ascii="Noto Sans CJK SC" w:hAnsi="Noto Sans CJK SC" w:eastAsia="Noto Sans CJK SC"/>
            <w:color w:val="19636A"/>
            <w:sz w:val="19"/>
          </w:rPr>
          <w:t>打开来源</w:t>
        </w:r>
      </w:hyperlink>
    </w:p>
    <w:p>
      <w:pPr>
        <w:spacing w:line="288" w:lineRule="auto" w:after="80"/>
      </w:pPr>
      <w:r>
        <w:rPr>
          <w:sz w:val="19"/>
        </w:rPr>
        <w:t xml:space="preserve">[S18] OpenAI，Image generation guide。  </w:t>
      </w:r>
      <w:hyperlink r:id="rId28">
        <w:r>
          <w:rPr>
            <w:rFonts w:ascii="Noto Sans CJK SC" w:hAnsi="Noto Sans CJK SC" w:eastAsia="Noto Sans CJK SC"/>
            <w:color w:val="19636A"/>
            <w:sz w:val="19"/>
          </w:rPr>
          <w:t>打开来源</w:t>
        </w:r>
      </w:hyperlink>
    </w:p>
    <w:p>
      <w:pPr>
        <w:spacing w:line="288" w:lineRule="auto" w:after="80"/>
      </w:pPr>
      <w:r>
        <w:rPr>
          <w:sz w:val="19"/>
        </w:rPr>
        <w:t xml:space="preserve">[S19] Google，Gemini image generation guide。  </w:t>
      </w:r>
      <w:hyperlink r:id="rId29">
        <w:r>
          <w:rPr>
            <w:rFonts w:ascii="Noto Sans CJK SC" w:hAnsi="Noto Sans CJK SC" w:eastAsia="Noto Sans CJK SC"/>
            <w:color w:val="19636A"/>
            <w:sz w:val="19"/>
          </w:rPr>
          <w:t>打开来源</w:t>
        </w:r>
      </w:hyperlink>
    </w:p>
    <w:p>
      <w:pPr>
        <w:spacing w:line="288" w:lineRule="auto" w:after="80"/>
      </w:pPr>
      <w:r>
        <w:rPr>
          <w:sz w:val="19"/>
        </w:rPr>
        <w:t xml:space="preserve">[S20] Google，Gemini Developer API pricing。  </w:t>
      </w:r>
      <w:hyperlink r:id="rId30">
        <w:r>
          <w:rPr>
            <w:rFonts w:ascii="Noto Sans CJK SC" w:hAnsi="Noto Sans CJK SC" w:eastAsia="Noto Sans CJK SC"/>
            <w:color w:val="19636A"/>
            <w:sz w:val="19"/>
          </w:rPr>
          <w:t>打开来源</w:t>
        </w:r>
      </w:hyperlink>
    </w:p>
    <w:p>
      <w:pPr>
        <w:spacing w:line="288" w:lineRule="auto" w:after="80"/>
      </w:pPr>
      <w:r>
        <w:rPr>
          <w:sz w:val="19"/>
        </w:rPr>
        <w:t xml:space="preserve">[S21] Apple，App Review Guidelines，重点 3.1.1、5.1.1、5.1.2。  </w:t>
      </w:r>
      <w:hyperlink r:id="rId31">
        <w:r>
          <w:rPr>
            <w:rFonts w:ascii="Noto Sans CJK SC" w:hAnsi="Noto Sans CJK SC" w:eastAsia="Noto Sans CJK SC"/>
            <w:color w:val="19636A"/>
            <w:sz w:val="19"/>
          </w:rPr>
          <w:t>打开来源</w:t>
        </w:r>
      </w:hyperlink>
    </w:p>
    <w:p>
      <w:pPr>
        <w:spacing w:line="288" w:lineRule="auto" w:after="80"/>
      </w:pPr>
      <w:r>
        <w:rPr>
          <w:sz w:val="19"/>
        </w:rPr>
        <w:t xml:space="preserve">[S22] Apple，App Store Small Business Program。  </w:t>
      </w:r>
      <w:hyperlink r:id="rId32">
        <w:r>
          <w:rPr>
            <w:rFonts w:ascii="Noto Sans CJK SC" w:hAnsi="Noto Sans CJK SC" w:eastAsia="Noto Sans CJK SC"/>
            <w:color w:val="19636A"/>
            <w:sz w:val="19"/>
          </w:rPr>
          <w:t>打开来源</w:t>
        </w:r>
      </w:hyperlink>
    </w:p>
    <w:p>
      <w:pPr>
        <w:spacing w:line="288" w:lineRule="auto" w:after="80"/>
      </w:pPr>
      <w:r>
        <w:rPr>
          <w:sz w:val="19"/>
        </w:rPr>
        <w:t xml:space="preserve">[S23] Apple，User Privacy and Data Use。  </w:t>
      </w:r>
      <w:hyperlink r:id="rId33">
        <w:r>
          <w:rPr>
            <w:rFonts w:ascii="Noto Sans CJK SC" w:hAnsi="Noto Sans CJK SC" w:eastAsia="Noto Sans CJK SC"/>
            <w:color w:val="19636A"/>
            <w:sz w:val="19"/>
          </w:rPr>
          <w:t>打开来源</w:t>
        </w:r>
      </w:hyperlink>
    </w:p>
    <w:p>
      <w:pPr>
        <w:spacing w:line="288" w:lineRule="auto" w:after="80"/>
      </w:pPr>
      <w:r>
        <w:rPr>
          <w:sz w:val="19"/>
        </w:rPr>
        <w:t xml:space="preserve">[S24] Apple，Secure your apps with App Attest，WWDC26。  </w:t>
      </w:r>
      <w:hyperlink r:id="rId34">
        <w:r>
          <w:rPr>
            <w:rFonts w:ascii="Noto Sans CJK SC" w:hAnsi="Noto Sans CJK SC" w:eastAsia="Noto Sans CJK SC"/>
            <w:color w:val="19636A"/>
            <w:sz w:val="19"/>
          </w:rPr>
          <w:t>打开来源</w:t>
        </w:r>
      </w:hyperlink>
    </w:p>
    <w:p>
      <w:pPr>
        <w:spacing w:line="288" w:lineRule="auto" w:after="80"/>
      </w:pPr>
      <w:r>
        <w:rPr>
          <w:sz w:val="19"/>
        </w:rPr>
        <w:t xml:space="preserve">[S25] Apple，Product Page Optimization。  </w:t>
      </w:r>
      <w:hyperlink r:id="rId35">
        <w:r>
          <w:rPr>
            <w:rFonts w:ascii="Noto Sans CJK SC" w:hAnsi="Noto Sans CJK SC" w:eastAsia="Noto Sans CJK SC"/>
            <w:color w:val="19636A"/>
            <w:sz w:val="19"/>
          </w:rPr>
          <w:t>打开来源</w:t>
        </w:r>
      </w:hyperlink>
    </w:p>
    <w:p>
      <w:pPr>
        <w:spacing w:line="288" w:lineRule="auto" w:after="80"/>
      </w:pPr>
      <w:r>
        <w:rPr>
          <w:sz w:val="19"/>
        </w:rPr>
        <w:t xml:space="preserve">[S26] Apple，Improve access to Photos in your app，WWDC21。  </w:t>
      </w:r>
      <w:hyperlink r:id="rId36">
        <w:r>
          <w:rPr>
            <w:rFonts w:ascii="Noto Sans CJK SC" w:hAnsi="Noto Sans CJK SC" w:eastAsia="Noto Sans CJK SC"/>
            <w:color w:val="19636A"/>
            <w:sz w:val="19"/>
          </w:rPr>
          <w:t>打开来源</w:t>
        </w:r>
      </w:hyperlink>
    </w:p>
    <w:p>
      <w:pPr>
        <w:spacing w:line="288" w:lineRule="auto" w:after="80"/>
      </w:pPr>
      <w:r>
        <w:rPr>
          <w:sz w:val="19"/>
        </w:rPr>
        <w:t xml:space="preserve">[S27] Apple，Support customers and handle refunds，WWDC21。  </w:t>
      </w:r>
      <w:hyperlink r:id="rId37">
        <w:r>
          <w:rPr>
            <w:rFonts w:ascii="Noto Sans CJK SC" w:hAnsi="Noto Sans CJK SC" w:eastAsia="Noto Sans CJK SC"/>
            <w:color w:val="19636A"/>
            <w:sz w:val="19"/>
          </w:rPr>
          <w:t>打开来源</w:t>
        </w:r>
      </w:hyperlink>
    </w:p>
    <w:p>
      <w:pPr>
        <w:spacing w:line="288" w:lineRule="auto" w:after="80"/>
      </w:pPr>
      <w:r>
        <w:rPr>
          <w:sz w:val="19"/>
        </w:rPr>
        <w:t xml:space="preserve">[S28] Apple，Custom Product Pages。  </w:t>
      </w:r>
      <w:hyperlink r:id="rId38">
        <w:r>
          <w:rPr>
            <w:rFonts w:ascii="Noto Sans CJK SC" w:hAnsi="Noto Sans CJK SC" w:eastAsia="Noto Sans CJK SC"/>
            <w:color w:val="19636A"/>
            <w:sz w:val="19"/>
          </w:rPr>
          <w:t>打开来源</w:t>
        </w:r>
      </w:hyperlink>
    </w:p>
    <w:p>
      <w:pPr>
        <w:spacing w:line="288" w:lineRule="auto" w:after="80"/>
      </w:pPr>
      <w:r>
        <w:rPr>
          <w:sz w:val="19"/>
        </w:rPr>
        <w:t xml:space="preserve">[S29] OpenAI，Data controls in the OpenAI platform。  </w:t>
      </w:r>
      <w:hyperlink r:id="rId39">
        <w:r>
          <w:rPr>
            <w:rFonts w:ascii="Noto Sans CJK SC" w:hAnsi="Noto Sans CJK SC" w:eastAsia="Noto Sans CJK SC"/>
            <w:color w:val="19636A"/>
            <w:sz w:val="19"/>
          </w:rPr>
          <w:t>打开来源</w:t>
        </w:r>
      </w:hyperlink>
    </w:p>
    <w:p>
      <w:pPr>
        <w:spacing w:line="288" w:lineRule="auto" w:after="80"/>
      </w:pPr>
      <w:r>
        <w:rPr>
          <w:sz w:val="19"/>
        </w:rPr>
        <w:t xml:space="preserve">[S30] RevenueCat，State of Subscription Apps 2026，方法说明与 AI/付费墙分组。  </w:t>
      </w:r>
      <w:hyperlink r:id="rId40">
        <w:r>
          <w:rPr>
            <w:rFonts w:ascii="Noto Sans CJK SC" w:hAnsi="Noto Sans CJK SC" w:eastAsia="Noto Sans CJK SC"/>
            <w:color w:val="19636A"/>
            <w:sz w:val="19"/>
          </w:rPr>
          <w:t>打开来源</w:t>
        </w:r>
      </w:hyperlink>
    </w:p>
    <w:p>
      <w:pPr>
        <w:spacing w:line="288" w:lineRule="auto" w:after="80"/>
      </w:pPr>
      <w:r>
        <w:rPr>
          <w:sz w:val="19"/>
        </w:rPr>
        <w:t xml:space="preserve">[S31] Car AI: Modify, Tune &amp; Design，美区 App Store，App ID 6762599357；注意与 S05 区分。  </w:t>
      </w:r>
      <w:hyperlink r:id="rId41">
        <w:r>
          <w:rPr>
            <w:rFonts w:ascii="Noto Sans CJK SC" w:hAnsi="Noto Sans CJK SC" w:eastAsia="Noto Sans CJK SC"/>
            <w:color w:val="19636A"/>
            <w:sz w:val="19"/>
          </w:rPr>
          <w:t>打开来源</w:t>
        </w:r>
      </w:hyperlink>
    </w:p>
    <w:p>
      <w:pPr>
        <w:spacing w:line="288" w:lineRule="auto" w:after="80"/>
      </w:pPr>
      <w:r>
        <w:rPr>
          <w:sz w:val="19"/>
        </w:rPr>
        <w:t xml:space="preserve">[S32] Car Editor: AI Design &amp; Mods，美区 App Store、公开评论与版本记录。  </w:t>
      </w:r>
      <w:hyperlink r:id="rId42">
        <w:r>
          <w:rPr>
            <w:rFonts w:ascii="Noto Sans CJK SC" w:hAnsi="Noto Sans CJK SC" w:eastAsia="Noto Sans CJK SC"/>
            <w:color w:val="19636A"/>
            <w:sz w:val="19"/>
          </w:rPr>
          <w:t>打开来源</w:t>
        </w:r>
      </w:hyperlink>
    </w:p>
    <w:p>
      <w:pPr>
        <w:spacing w:line="288" w:lineRule="auto" w:after="80"/>
      </w:pPr>
      <w:r>
        <w:rPr>
          <w:sz w:val="19"/>
        </w:rPr>
        <w:t xml:space="preserve">[S33] Car AI 开发者网站，2026-08-24 文章与内容导航；仅用于核验营销内容组织，不作独立技术评测。  </w:t>
      </w:r>
      <w:hyperlink r:id="rId43">
        <w:r>
          <w:rPr>
            <w:rFonts w:ascii="Noto Sans CJK SC" w:hAnsi="Noto Sans CJK SC" w:eastAsia="Noto Sans CJK SC"/>
            <w:color w:val="19636A"/>
            <w:sz w:val="19"/>
          </w:rPr>
          <w:t>打开来源</w:t>
        </w:r>
      </w:hyperlink>
    </w:p>
    <w:p>
      <w:pPr>
        <w:pStyle w:val="Heading1"/>
        <w:pageBreakBefore w:val="0"/>
      </w:pPr>
      <w:r>
        <w:t>附录 B 代码证据索引</w:t>
      </w:r>
    </w:p>
    <w:p>
      <w:r>
        <w:t>全部代码观察固定于提交 3df0b392f4c81364a34d5083dc75284eafbe2eb1，实施时应重新比较当前分支，避免覆盖后续改动。</w:t>
      </w:r>
    </w:p>
    <w:p>
      <w:pPr>
        <w:spacing w:line="288" w:lineRule="auto" w:after="80"/>
      </w:pPr>
      <w:r>
        <w:rPr>
          <w:sz w:val="19"/>
        </w:rPr>
        <w:t xml:space="preserve">[R01] README.md：现有流程、Demo 与 live 边界、账号及支付状态。  </w:t>
      </w:r>
      <w:hyperlink r:id="rId44">
        <w:r>
          <w:rPr>
            <w:rFonts w:ascii="Noto Sans CJK SC" w:hAnsi="Noto Sans CJK SC" w:eastAsia="Noto Sans CJK SC"/>
            <w:color w:val="19636A"/>
            <w:sz w:val="19"/>
          </w:rPr>
          <w:t>打开来源</w:t>
        </w:r>
      </w:hyperlink>
    </w:p>
    <w:p>
      <w:pPr>
        <w:spacing w:line="288" w:lineRule="auto" w:after="80"/>
      </w:pPr>
      <w:r>
        <w:rPr>
          <w:sz w:val="19"/>
        </w:rPr>
        <w:t xml:space="preserve">[R02] shared/types.ts：Target、Draft、Version、Project、GenerationTask、GenerateInput。  </w:t>
      </w:r>
      <w:hyperlink r:id="rId45">
        <w:r>
          <w:rPr>
            <w:rFonts w:ascii="Noto Sans CJK SC" w:hAnsi="Noto Sans CJK SC" w:eastAsia="Noto Sans CJK SC"/>
            <w:color w:val="19636A"/>
            <w:sz w:val="19"/>
          </w:rPr>
          <w:t>打开来源</w:t>
        </w:r>
      </w:hyperlink>
    </w:p>
    <w:p>
      <w:pPr>
        <w:spacing w:line="288" w:lineRule="auto" w:after="80"/>
      </w:pPr>
      <w:r>
        <w:rPr>
          <w:sz w:val="19"/>
        </w:rPr>
        <w:t xml:space="preserve">[R03] server/app.ts：normalizeImage 和 run 中输出复用归一化的处理。  </w:t>
      </w:r>
      <w:hyperlink r:id="rId46">
        <w:r>
          <w:rPr>
            <w:rFonts w:ascii="Noto Sans CJK SC" w:hAnsi="Noto Sans CJK SC" w:eastAsia="Noto Sans CJK SC"/>
            <w:color w:val="19636A"/>
            <w:sz w:val="19"/>
          </w:rPr>
          <w:t>打开来源</w:t>
        </w:r>
      </w:hyperlink>
    </w:p>
    <w:p>
      <w:pPr>
        <w:spacing w:line="288" w:lineRule="auto" w:after="80"/>
      </w:pPr>
      <w:r>
        <w:rPr>
          <w:sz w:val="19"/>
        </w:rPr>
        <w:t>[R04] server/app.ts：任务校验、基础版本及 explore/refine 限制。与 R03 为同一文件，不计为独立外部来源。</w:t>
      </w:r>
    </w:p>
    <w:p>
      <w:pPr>
        <w:spacing w:line="288" w:lineRule="auto" w:after="80"/>
      </w:pPr>
      <w:r>
        <w:rPr>
          <w:sz w:val="19"/>
        </w:rPr>
        <w:t xml:space="preserve">[R05] src/lib/draft.ts：Keep current 与 verifiedBase 的语义。  </w:t>
      </w:r>
      <w:hyperlink r:id="rId47">
        <w:r>
          <w:rPr>
            <w:rFonts w:ascii="Noto Sans CJK SC" w:hAnsi="Noto Sans CJK SC" w:eastAsia="Noto Sans CJK SC"/>
            <w:color w:val="19636A"/>
            <w:sz w:val="19"/>
          </w:rPr>
          <w:t>打开来源</w:t>
        </w:r>
      </w:hyperlink>
    </w:p>
    <w:p>
      <w:pPr>
        <w:spacing w:line="288" w:lineRule="auto" w:after="80"/>
      </w:pPr>
      <w:r>
        <w:rPr>
          <w:sz w:val="19"/>
        </w:rPr>
        <w:t xml:space="preserve">[R06] server/provider.ts：提示词与 Buffer 返回契约。  </w:t>
      </w:r>
      <w:hyperlink r:id="rId48">
        <w:r>
          <w:rPr>
            <w:rFonts w:ascii="Noto Sans CJK SC" w:hAnsi="Noto Sans CJK SC" w:eastAsia="Noto Sans CJK SC"/>
            <w:color w:val="19636A"/>
            <w:sz w:val="19"/>
          </w:rPr>
          <w:t>打开来源</w:t>
        </w:r>
      </w:hyperlink>
    </w:p>
    <w:p>
      <w:pPr>
        <w:spacing w:line="288" w:lineRule="auto" w:after="80"/>
      </w:pPr>
      <w:r>
        <w:rPr>
          <w:sz w:val="19"/>
        </w:rPr>
        <w:t xml:space="preserve">[R07] docs/OPEN_SOURCE.md：代码许可与示例素材授权边界。  </w:t>
      </w:r>
      <w:hyperlink r:id="rId49">
        <w:r>
          <w:rPr>
            <w:rFonts w:ascii="Noto Sans CJK SC" w:hAnsi="Noto Sans CJK SC" w:eastAsia="Noto Sans CJK SC"/>
            <w:color w:val="19636A"/>
            <w:sz w:val="19"/>
          </w:rPr>
          <w:t>打开来源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51" w:right="1181" w:bottom="1008" w:left="1181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Noto Sans CJK SC" w:hAnsi="Noto Sans CJK SC"/>
        <w:color w:val="66747B"/>
        <w:sz w:val="16"/>
      </w:rPr>
      <w:t xml:space="preserve">2026-10-11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Noto Sans CJK SC" w:hAnsi="Noto Sans CJK SC"/>
        <w:color w:val="66747B"/>
        <w:sz w:val="16"/>
      </w:rPr>
      <w:t>FORM / PRODUCT RESEARCH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4" w:lineRule="auto" w:after="120"/>
    </w:pPr>
    <w:rPr>
      <w:rFonts w:ascii="Noto Sans CJK SC" w:hAnsi="Noto Sans CJK SC" w:eastAsia="Noto Sans CJK SC" w:cs="Noto Sans CJK SC"/>
      <w:b w:val="0"/>
      <w:color w:val="202A3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76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183D4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276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183D4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183D4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76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color w:val="183D4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 w:line="276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b w:val="0"/>
      <w:i w:val="0"/>
      <w:iCs/>
      <w:color w:val="55616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 w:cs="Noto Sans CJK SC"/>
      <w:b w:val="0"/>
      <w:bCs/>
      <w:color w:val="59677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pps.apple.com/us/app/mody-ai-car-modifications/id6523376299" TargetMode="External"/><Relationship Id="rId12" Type="http://schemas.openxmlformats.org/officeDocument/2006/relationships/hyperlink" Target="https://apps.apple.com/us/app/driftshot-ai-car-photography/id6743636833" TargetMode="External"/><Relationship Id="rId13" Type="http://schemas.openxmlformats.org/officeDocument/2006/relationships/hyperlink" Target="https://apps.apple.com/us/app/driftshot-ai-car-photography/id6743636833?see-all=reviews&amp;platform=iphone" TargetMode="External"/><Relationship Id="rId14" Type="http://schemas.openxmlformats.org/officeDocument/2006/relationships/hyperlink" Target="https://apps.apple.com/us/app/ai-car-tuning-paint-wrapr/id6747343828" TargetMode="External"/><Relationship Id="rId15" Type="http://schemas.openxmlformats.org/officeDocument/2006/relationships/hyperlink" Target="https://apps.apple.com/us/app/car-ai-ai-car-modifications/id6751798844" TargetMode="External"/><Relationship Id="rId16" Type="http://schemas.openxmlformats.org/officeDocument/2006/relationships/hyperlink" Target="https://apps.apple.com/us/app/rimo-ai-car-mods-tuning/id6749508874" TargetMode="External"/><Relationship Id="rId17" Type="http://schemas.openxmlformats.org/officeDocument/2006/relationships/hyperlink" Target="https://apps.apple.com/us/app/car-ai-designer-carvisionai/id6758027270" TargetMode="External"/><Relationship Id="rId18" Type="http://schemas.openxmlformats.org/officeDocument/2006/relationships/hyperlink" Target="https://carvisionai.com/" TargetMode="External"/><Relationship Id="rId19" Type="http://schemas.openxmlformats.org/officeDocument/2006/relationships/hyperlink" Target="https://apps.apple.com/us/app/motormia-tune-mod-your-ride/id6737239101" TargetMode="External"/><Relationship Id="rId20" Type="http://schemas.openxmlformats.org/officeDocument/2006/relationships/hyperlink" Target="https://www.3dtuning.com/en-US/" TargetMode="External"/><Relationship Id="rId21" Type="http://schemas.openxmlformats.org/officeDocument/2006/relationships/hyperlink" Target="https://www.tirerack.com/wheels" TargetMode="External"/><Relationship Id="rId22" Type="http://schemas.openxmlformats.org/officeDocument/2006/relationships/hyperlink" Target="https://graphics.averydennison.com/ap-en/auto/wrap/visualizer.html" TargetMode="External"/><Relationship Id="rId23" Type="http://schemas.openxmlformats.org/officeDocument/2006/relationships/hyperlink" Target="https://apps.apple.com/us/app/car-rim-photo-editor/id1439737490" TargetMode="External"/><Relationship Id="rId24" Type="http://schemas.openxmlformats.org/officeDocument/2006/relationships/hyperlink" Target="https://apps.apple.com/au/app/driftshot-ai-car-photography/id6743636833" TargetMode="External"/><Relationship Id="rId25" Type="http://schemas.openxmlformats.org/officeDocument/2006/relationships/hyperlink" Target="https://apps.apple.com/us/app/mody-ai-car-modifications/id6523376299?see-all=reviews&amp;platform=iphone" TargetMode="External"/><Relationship Id="rId26" Type="http://schemas.openxmlformats.org/officeDocument/2006/relationships/hyperlink" Target="https://apps.apple.com/gb/app/mody-ai-car-modifications/id6523376299" TargetMode="External"/><Relationship Id="rId27" Type="http://schemas.openxmlformats.org/officeDocument/2006/relationships/hyperlink" Target="https://www.sema.org/news-media/enews/2026/26/new-2026-sema-market-report-reveals-nearly-53-billion-aftermarket" TargetMode="External"/><Relationship Id="rId28" Type="http://schemas.openxmlformats.org/officeDocument/2006/relationships/hyperlink" Target="https://developers.openai.com/api/docs/guides/image-generation" TargetMode="External"/><Relationship Id="rId29" Type="http://schemas.openxmlformats.org/officeDocument/2006/relationships/hyperlink" Target="https://ai.google.dev/gemini-api/docs/image-generation" TargetMode="External"/><Relationship Id="rId30" Type="http://schemas.openxmlformats.org/officeDocument/2006/relationships/hyperlink" Target="https://ai.google.dev/gemini-api/docs/pricing" TargetMode="External"/><Relationship Id="rId31" Type="http://schemas.openxmlformats.org/officeDocument/2006/relationships/hyperlink" Target="https://developer.apple.com/app-store/review/guidelines/" TargetMode="External"/><Relationship Id="rId32" Type="http://schemas.openxmlformats.org/officeDocument/2006/relationships/hyperlink" Target="https://developer.apple.com/app-store/small-business-program/" TargetMode="External"/><Relationship Id="rId33" Type="http://schemas.openxmlformats.org/officeDocument/2006/relationships/hyperlink" Target="https://developer.apple.com/app-store/user-privacy-and-data-use/" TargetMode="External"/><Relationship Id="rId34" Type="http://schemas.openxmlformats.org/officeDocument/2006/relationships/hyperlink" Target="https://developer.apple.com/videos/play/wwdc2026/201/" TargetMode="External"/><Relationship Id="rId35" Type="http://schemas.openxmlformats.org/officeDocument/2006/relationships/hyperlink" Target="https://developer.apple.com/app-store/product-page-optimization/" TargetMode="External"/><Relationship Id="rId36" Type="http://schemas.openxmlformats.org/officeDocument/2006/relationships/hyperlink" Target="https://developer.apple.com/videos/play/wwdc2021/10046/" TargetMode="External"/><Relationship Id="rId37" Type="http://schemas.openxmlformats.org/officeDocument/2006/relationships/hyperlink" Target="https://developer.apple.com/videos/play/wwdc2021/10175/" TargetMode="External"/><Relationship Id="rId38" Type="http://schemas.openxmlformats.org/officeDocument/2006/relationships/hyperlink" Target="https://developer.apple.com/app-store/custom-product-pages/" TargetMode="External"/><Relationship Id="rId39" Type="http://schemas.openxmlformats.org/officeDocument/2006/relationships/hyperlink" Target="https://developers.openai.com/api/docs/guides/your-data" TargetMode="External"/><Relationship Id="rId40" Type="http://schemas.openxmlformats.org/officeDocument/2006/relationships/hyperlink" Target="https://www.revenuecat.com/state-of-subscription-apps" TargetMode="External"/><Relationship Id="rId41" Type="http://schemas.openxmlformats.org/officeDocument/2006/relationships/hyperlink" Target="https://apps.apple.com/us/app/car-ai-modify-tune-design/id6762599357" TargetMode="External"/><Relationship Id="rId42" Type="http://schemas.openxmlformats.org/officeDocument/2006/relationships/hyperlink" Target="https://apps.apple.com/us/app/car-editor-ai-design-mods/id6742412025" TargetMode="External"/><Relationship Id="rId43" Type="http://schemas.openxmlformats.org/officeDocument/2006/relationships/hyperlink" Target="https://carmodify.app/blog/how-ai-car-modification-apps-work" TargetMode="External"/><Relationship Id="rId44" Type="http://schemas.openxmlformats.org/officeDocument/2006/relationships/hyperlink" Target="https://github.com/23chen990/form-car-studio/blob/3df0b392f4c81364a34d5083dc75284eafbe2eb1/README.md" TargetMode="External"/><Relationship Id="rId45" Type="http://schemas.openxmlformats.org/officeDocument/2006/relationships/hyperlink" Target="https://github.com/23chen990/form-car-studio/blob/3df0b392f4c81364a34d5083dc75284eafbe2eb1/shared/types.ts" TargetMode="External"/><Relationship Id="rId46" Type="http://schemas.openxmlformats.org/officeDocument/2006/relationships/hyperlink" Target="https://github.com/23chen990/form-car-studio/blob/3df0b392f4c81364a34d5083dc75284eafbe2eb1/server/app.ts" TargetMode="External"/><Relationship Id="rId47" Type="http://schemas.openxmlformats.org/officeDocument/2006/relationships/hyperlink" Target="https://github.com/23chen990/form-car-studio/blob/3df0b392f4c81364a34d5083dc75284eafbe2eb1/src/lib/draft.ts" TargetMode="External"/><Relationship Id="rId48" Type="http://schemas.openxmlformats.org/officeDocument/2006/relationships/hyperlink" Target="https://github.com/23chen990/form-car-studio/blob/3df0b392f4c81364a34d5083dc75284eafbe2eb1/server/provider.ts" TargetMode="External"/><Relationship Id="rId49" Type="http://schemas.openxmlformats.org/officeDocument/2006/relationships/hyperlink" Target="https://github.com/23chen990/form-car-studio/blob/3df0b392f4c81364a34d5083dc75284eafbe2eb1/docs/OPEN_SOURC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海外竞品调研与产品升级方案</dc:title>
  <dc:subject>竞品、用户需求、体验设计、成本、上架与开发验收</dc:subject>
  <dc:creator>FORM Research</dc:creator>
  <cp:keywords>FORM, product research, competitive research, 2026-10-11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