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788296"/>
          <w:sz w:val="18"/>
        </w:rPr>
        <w:t>COORDIN8 ENTERPRISE INTELLIGENCE  •  CYBERSHIELD DEFENSE - FEDRAMP ZERO TRUST  •  INITIAL DRAFT (STAGE 1)</w:t>
      </w:r>
    </w:p>
    <w:p>
      <w:pPr>
        <w:spacing w:after="40"/>
      </w:pPr>
      <w:r>
        <w:rPr>
          <w:rFonts w:ascii="Calibri" w:hAnsi="Calibri"/>
          <w:b/>
          <w:color w:val="F59E0B"/>
          <w:sz w:val="48"/>
        </w:rPr>
        <w:t>CS-FEDRAMP System Architecture &amp; Governance Blueprint</w:t>
      </w:r>
    </w:p>
    <w:p>
      <w:pPr>
        <w:spacing w:after="280"/>
      </w:pPr>
      <w:r>
        <w:rPr>
          <w:rFonts w:ascii="Calibri" w:hAnsi="Calibri"/>
          <w:color w:val="5A6473"/>
          <w:sz w:val="26"/>
        </w:rPr>
        <w:t>Preliminary Draft Specification for CyberShield Federal Technologies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Client Organization</w:t>
              <w:br/>
            </w:r>
            <w:r>
              <w:rPr>
                <w:b/>
                <w:color w:val="0F172A"/>
                <w:sz w:val="20"/>
              </w:rPr>
              <w:t>CyberShield Federal Technologies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Document Version</w:t>
              <w:br/>
            </w:r>
            <w:r>
              <w:rPr>
                <w:b/>
                <w:color w:val="0F172A"/>
                <w:sz w:val="20"/>
              </w:rPr>
              <w:t>v0.1-draft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Delivery Stage</w:t>
              <w:br/>
            </w:r>
            <w:r>
              <w:rPr>
                <w:b/>
                <w:color w:val="0F172A"/>
                <w:sz w:val="20"/>
              </w:rPr>
              <w:t>Initial Draft (Stage 1)</w:t>
            </w:r>
          </w:p>
        </w:tc>
      </w:tr>
      <w:tr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Audited Date</w:t>
              <w:br/>
            </w:r>
            <w:r>
              <w:rPr>
                <w:b/>
                <w:color w:val="0F172A"/>
                <w:sz w:val="20"/>
              </w:rPr>
              <w:t>September 29, 2026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Classification</w:t>
              <w:br/>
            </w:r>
            <w:r>
              <w:rPr>
                <w:b/>
                <w:color w:val="0F172A"/>
                <w:sz w:val="20"/>
              </w:rPr>
              <w:t>Confidential / Commercial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Author</w:t>
              <w:br/>
            </w:r>
            <w:r>
              <w:rPr>
                <w:b/>
                <w:color w:val="0F172A"/>
                <w:sz w:val="20"/>
              </w:rPr>
              <w:t>Coordin8 Enterprise Team</w:t>
            </w:r>
          </w:p>
        </w:tc>
      </w:tr>
    </w:tbl>
    <w:p>
      <w:pPr>
        <w:spacing w:after="240"/>
      </w:pPr>
    </w:p>
    <w:p>
      <w:pPr>
        <w:keepNext/>
        <w:spacing w:before="280" w:after="80"/>
      </w:pPr>
      <w:r>
        <w:rPr>
          <w:rFonts w:ascii="Calibri" w:hAnsi="Calibri"/>
          <w:b/>
          <w:color w:val="F59E0B"/>
          <w:sz w:val="30"/>
        </w:rPr>
        <w:t>1. Strategic Mission &amp; Problem Statement</w:t>
      </w:r>
    </w:p>
    <w:p>
      <w:pPr>
        <w:spacing w:after="160" w:line="276" w:lineRule="auto"/>
      </w:pPr>
      <w:r>
        <w:rPr>
          <w:rFonts w:ascii="Calibri" w:hAnsi="Calibri"/>
          <w:color w:val="334155"/>
          <w:sz w:val="21"/>
        </w:rPr>
        <w:t>Architect, harden, and audit an enterprise multi-region Kubernetes infrastructure to achieve FedRAMP Moderate Authorization to Operate (ATO). Implement NIST 800-53 Rev 5 zero-trust microsegmentation, mTLS service mesh, continuous vulnerability scanning, and cryptographic HSM key rotation.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0"/>
        </w:rPr>
        <w:t>Automate manual legacy workflows with high-availability microservices.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0"/>
        </w:rPr>
        <w:t>Enforce strict regulatory compliance and audit trail traceability.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0"/>
        </w:rPr>
        <w:t>Achieve sub-second latency SLA across distributed cloud environments.</w:t>
      </w:r>
    </w:p>
    <w:p>
      <w:pPr>
        <w:keepNext/>
        <w:spacing w:before="280" w:after="80"/>
      </w:pPr>
      <w:r>
        <w:rPr>
          <w:rFonts w:ascii="Calibri" w:hAnsi="Calibri"/>
          <w:b/>
          <w:color w:val="F59E0B"/>
          <w:sz w:val="30"/>
        </w:rPr>
        <w:t>2. Ingestion &amp; Invariant Requirements</w:t>
      </w:r>
    </w:p>
    <w:p>
      <w:pPr>
        <w:spacing w:after="160" w:line="276" w:lineRule="auto"/>
      </w:pPr>
      <w:r>
        <w:rPr>
          <w:rFonts w:ascii="Calibri" w:hAnsi="Calibri"/>
          <w:color w:val="334155"/>
          <w:sz w:val="21"/>
        </w:rPr>
        <w:t>System ingress pipeline specifications for real-time telemetry and structured records.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59e0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340"/>
            <w:shd w:fill="f59e0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Latency</w:t>
            </w:r>
          </w:p>
        </w:tc>
        <w:tc>
          <w:tcPr>
            <w:tcW w:type="dxa" w:w="2340"/>
            <w:shd w:fill="f59e0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Throughput SLA</w:t>
            </w:r>
          </w:p>
        </w:tc>
        <w:tc>
          <w:tcPr>
            <w:tcW w:type="dxa" w:w="2340"/>
            <w:shd w:fill="f59e0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Fault Tolerance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Edge Ingestion Gateway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&lt;80ms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10,000 req/sec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Multi-AZ Active/Active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Feature Extraction Engine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&lt;150ms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5,000 evt/sec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Automatic Retry &amp; DLQ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Inference Core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&lt;120ms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2,500 req/sec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Dynamic Batching (PyTorch)</w:t>
            </w:r>
          </w:p>
        </w:tc>
      </w:tr>
    </w:tbl>
    <w:p>
      <w:pPr>
        <w:spacing w:after="160"/>
      </w:pPr>
    </w:p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Client Executive Sign-off</w:t>
              <w:br/>
            </w:r>
            <w:r>
              <w:rPr>
                <w:color w:val="64748B"/>
                <w:sz w:val="17"/>
              </w:rPr>
              <w:t>CyberShield Federal Technologies Authorized Representative</w:t>
            </w:r>
          </w:p>
        </w:tc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Coordin8 Delivery Lead</w:t>
              <w:br/>
            </w:r>
            <w:r>
              <w:rPr>
                <w:color w:val="64748B"/>
                <w:sz w:val="17"/>
              </w:rPr>
              <w:t>Srinath Srinivasan / Principal Architect</w:t>
            </w:r>
          </w:p>
        </w:tc>
      </w:tr>
      <w:tr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Signature: __________________________</w:t>
              <w:br/>
            </w:r>
            <w:r>
              <w:rPr>
                <w:color w:val="64748B"/>
                <w:sz w:val="17"/>
              </w:rPr>
              <w:t>Status: INITIAL DRAFT (STAGE 1)</w:t>
            </w:r>
          </w:p>
        </w:tc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Signature: __________________________</w:t>
              <w:br/>
            </w:r>
            <w:r>
              <w:rPr>
                <w:color w:val="64748B"/>
                <w:sz w:val="17"/>
              </w:rPr>
              <w:t>Date: 2026-09-29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