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FINEDGE AI - AUTOMATED CREDIT UNDERWRITING  •  FINAL APPROVED (STAGE 3)</w:t>
      </w:r>
    </w:p>
    <w:p>
      <w:pPr>
        <w:spacing w:after="40"/>
      </w:pPr>
      <w:r>
        <w:rPr>
          <w:rFonts w:ascii="Calibri" w:hAnsi="Calibri"/>
          <w:b/>
          <w:color w:val="4F46E5"/>
          <w:sz w:val="48"/>
        </w:rPr>
        <w:t>FE-RISK Technical Specification &amp; Model Risk Architecture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Production Delivery &amp; Client Sign-off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FinEdge Capital Partners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v1.0-release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Final Approved (Stage 3)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30"/>
        </w:rPr>
        <w:t>1. Executive Summary &amp; Verification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This specification formalizes the production deployment of FinEdge AI - Automated Credit Underwriting for FinEdge Capital Partners. All engineering and compliance criteria have been fully validated.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Verified end-to-end latency below target threshold.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Completed model risk and bias fairness calibration.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Signed off by client executive stakeholders.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30"/>
        </w:rPr>
        <w:t>2. Benchmark Performance Matrix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Empirical validation results across test datasets and production stress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Requirement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Achieved Benchmark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Decision / Scoring Latency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&lt;400ms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182ms (p99)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(Outperformed)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Model Accuracy / ROC-AUC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&gt;0.88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0.914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(Exceeded)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Availability &amp; Uptime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Fair Lending / Bias Metric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Disparate Impact &gt; 0.80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COMPLIANT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FinEdge Capital Partners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FINAL APPROVED (STAGE 3)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