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/>
          <w:b/>
          <w:color w:val="788296"/>
          <w:sz w:val="18"/>
        </w:rPr>
        <w:t>COORDIN8 ENTERPRISE INTELLIGENCE  •  NEXUS LOGISTICS - AUTONOMOUS FLEET TELEMATICS  •  INITIAL DRAFT (STAGE 1)</w:t>
      </w:r>
    </w:p>
    <w:p>
      <w:pPr>
        <w:spacing w:after="40"/>
      </w:pPr>
      <w:r>
        <w:rPr>
          <w:rFonts w:ascii="Calibri" w:hAnsi="Calibri"/>
          <w:b/>
          <w:color w:val="10B981"/>
          <w:sz w:val="48"/>
        </w:rPr>
        <w:t>NEX-ROUTE System Architecture &amp; Governance Blueprint</w:t>
      </w:r>
    </w:p>
    <w:p>
      <w:pPr>
        <w:spacing w:after="280"/>
      </w:pPr>
      <w:r>
        <w:rPr>
          <w:rFonts w:ascii="Calibri" w:hAnsi="Calibri"/>
          <w:color w:val="5A6473"/>
          <w:sz w:val="26"/>
        </w:rPr>
        <w:t>Preliminary Draft Specification for Nexus Supply Chain Global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20" w:line="276" w:lineRule="auto"/>
            </w:pPr>
            <w:r>
              <w:rPr>
                <w:b/>
                <w:color w:val="64748B"/>
                <w:sz w:val="16"/>
              </w:rPr>
              <w:t>Client Organization</w:t>
              <w:br/>
            </w:r>
            <w:r>
              <w:rPr>
                <w:b/>
                <w:color w:val="0F172A"/>
                <w:sz w:val="20"/>
              </w:rPr>
              <w:t>Nexus Supply Chain Global</w:t>
            </w:r>
          </w:p>
        </w:tc>
        <w:tc>
          <w:tcPr>
            <w:tcW w:type="dxa" w:w="312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20" w:line="276" w:lineRule="auto"/>
            </w:pPr>
            <w:r>
              <w:rPr>
                <w:b/>
                <w:color w:val="64748B"/>
                <w:sz w:val="16"/>
              </w:rPr>
              <w:t>Document Version</w:t>
              <w:br/>
            </w:r>
            <w:r>
              <w:rPr>
                <w:b/>
                <w:color w:val="0F172A"/>
                <w:sz w:val="20"/>
              </w:rPr>
              <w:t>v0.1-draft</w:t>
            </w:r>
          </w:p>
        </w:tc>
        <w:tc>
          <w:tcPr>
            <w:tcW w:type="dxa" w:w="312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20" w:line="276" w:lineRule="auto"/>
            </w:pPr>
            <w:r>
              <w:rPr>
                <w:b/>
                <w:color w:val="64748B"/>
                <w:sz w:val="16"/>
              </w:rPr>
              <w:t>Delivery Stage</w:t>
              <w:br/>
            </w:r>
            <w:r>
              <w:rPr>
                <w:b/>
                <w:color w:val="0F172A"/>
                <w:sz w:val="20"/>
              </w:rPr>
              <w:t>Initial Draft (Stage 1)</w:t>
            </w:r>
          </w:p>
        </w:tc>
      </w:tr>
      <w:tr>
        <w:tc>
          <w:tcPr>
            <w:tcW w:type="dxa" w:w="312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20" w:line="276" w:lineRule="auto"/>
            </w:pPr>
            <w:r>
              <w:rPr>
                <w:b/>
                <w:color w:val="64748B"/>
                <w:sz w:val="16"/>
              </w:rPr>
              <w:t>Audited Date</w:t>
              <w:br/>
            </w:r>
            <w:r>
              <w:rPr>
                <w:b/>
                <w:color w:val="0F172A"/>
                <w:sz w:val="20"/>
              </w:rPr>
              <w:t>September 29, 2026</w:t>
            </w:r>
          </w:p>
        </w:tc>
        <w:tc>
          <w:tcPr>
            <w:tcW w:type="dxa" w:w="312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20" w:line="276" w:lineRule="auto"/>
            </w:pPr>
            <w:r>
              <w:rPr>
                <w:b/>
                <w:color w:val="64748B"/>
                <w:sz w:val="16"/>
              </w:rPr>
              <w:t>Classification</w:t>
              <w:br/>
            </w:r>
            <w:r>
              <w:rPr>
                <w:b/>
                <w:color w:val="0F172A"/>
                <w:sz w:val="20"/>
              </w:rPr>
              <w:t>Confidential / Commercial</w:t>
            </w:r>
          </w:p>
        </w:tc>
        <w:tc>
          <w:tcPr>
            <w:tcW w:type="dxa" w:w="312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20" w:line="276" w:lineRule="auto"/>
            </w:pPr>
            <w:r>
              <w:rPr>
                <w:b/>
                <w:color w:val="64748B"/>
                <w:sz w:val="16"/>
              </w:rPr>
              <w:t>Author</w:t>
              <w:br/>
            </w:r>
            <w:r>
              <w:rPr>
                <w:b/>
                <w:color w:val="0F172A"/>
                <w:sz w:val="20"/>
              </w:rPr>
              <w:t>Coordin8 Enterprise Team</w:t>
            </w:r>
          </w:p>
        </w:tc>
      </w:tr>
    </w:tbl>
    <w:p>
      <w:pPr>
        <w:spacing w:after="240"/>
      </w:pPr>
    </w:p>
    <w:p>
      <w:pPr>
        <w:keepNext/>
        <w:spacing w:before="280" w:after="80"/>
      </w:pPr>
      <w:r>
        <w:rPr>
          <w:rFonts w:ascii="Calibri" w:hAnsi="Calibri"/>
          <w:b/>
          <w:color w:val="10B981"/>
          <w:sz w:val="30"/>
        </w:rPr>
        <w:t>1. Strategic Mission &amp; Problem Statement</w:t>
      </w:r>
    </w:p>
    <w:p>
      <w:pPr>
        <w:spacing w:after="160" w:line="276" w:lineRule="auto"/>
      </w:pPr>
      <w:r>
        <w:rPr>
          <w:rFonts w:ascii="Calibri" w:hAnsi="Calibri"/>
          <w:color w:val="334155"/>
          <w:sz w:val="21"/>
        </w:rPr>
        <w:t>Engineer an edge-to-cloud fleet telematics ingestion engine and real-time dynamic route optimizer for 1,200 heavy-duty delivery vehicles. Minimize empty-haul miles by 24%, dynamically balance battery state-of-charge (SoC) for Class 8 electric trucks, and provide automated rerouting around municipal congestion zones.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334155"/>
          <w:sz w:val="20"/>
        </w:rPr>
        <w:t>Automate manual legacy workflows with high-availability microservices.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334155"/>
          <w:sz w:val="20"/>
        </w:rPr>
        <w:t>Enforce strict regulatory compliance and audit trail traceability.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334155"/>
          <w:sz w:val="20"/>
        </w:rPr>
        <w:t>Achieve sub-second latency SLA across distributed cloud environments.</w:t>
      </w:r>
    </w:p>
    <w:p>
      <w:pPr>
        <w:keepNext/>
        <w:spacing w:before="280" w:after="80"/>
      </w:pPr>
      <w:r>
        <w:rPr>
          <w:rFonts w:ascii="Calibri" w:hAnsi="Calibri"/>
          <w:b/>
          <w:color w:val="10B981"/>
          <w:sz w:val="30"/>
        </w:rPr>
        <w:t>2. Ingestion &amp; Invariant Requirements</w:t>
      </w:r>
    </w:p>
    <w:p>
      <w:pPr>
        <w:spacing w:after="160" w:line="276" w:lineRule="auto"/>
      </w:pPr>
      <w:r>
        <w:rPr>
          <w:rFonts w:ascii="Calibri" w:hAnsi="Calibri"/>
          <w:color w:val="334155"/>
          <w:sz w:val="21"/>
        </w:rPr>
        <w:t>System ingress pipeline specifications for real-time telemetry and structured records.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0b981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Component</w:t>
            </w:r>
          </w:p>
        </w:tc>
        <w:tc>
          <w:tcPr>
            <w:tcW w:type="dxa" w:w="2340"/>
            <w:shd w:fill="10b981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Target Latency</w:t>
            </w:r>
          </w:p>
        </w:tc>
        <w:tc>
          <w:tcPr>
            <w:tcW w:type="dxa" w:w="2340"/>
            <w:shd w:fill="10b981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Throughput SLA</w:t>
            </w:r>
          </w:p>
        </w:tc>
        <w:tc>
          <w:tcPr>
            <w:tcW w:type="dxa" w:w="2340"/>
            <w:shd w:fill="10b981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Fault Tolerance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Edge Ingestion Gateway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&lt;80ms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10,000 req/sec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Multi-AZ Active/Active</w:t>
            </w:r>
          </w:p>
        </w:tc>
      </w:tr>
      <w:tr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Feature Extraction Engine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&lt;150ms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5,000 evt/sec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Automatic Retry &amp; DLQ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Inference Core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&lt;120ms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2,500 req/sec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Dynamic Batching (PyTorch)</w:t>
            </w:r>
          </w:p>
        </w:tc>
      </w:tr>
    </w:tbl>
    <w:p>
      <w:pPr>
        <w:spacing w:after="160"/>
      </w:pPr>
    </w:p>
    <w:p>
      <w:pPr>
        <w:spacing w:after="3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sz w:val="18"/>
              </w:rPr>
              <w:t>Client Executive Sign-off</w:t>
              <w:br/>
            </w:r>
            <w:r>
              <w:rPr>
                <w:color w:val="64748B"/>
                <w:sz w:val="17"/>
              </w:rPr>
              <w:t>Nexus Supply Chain Global Authorized Representative</w:t>
            </w:r>
          </w:p>
        </w:tc>
        <w:tc>
          <w:tcPr>
            <w:tcW w:type="dxa" w:w="4680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sz w:val="18"/>
              </w:rPr>
              <w:t>Coordin8 Delivery Lead</w:t>
              <w:br/>
            </w:r>
            <w:r>
              <w:rPr>
                <w:color w:val="64748B"/>
                <w:sz w:val="17"/>
              </w:rPr>
              <w:t>Srinath Srinivasan / Principal Architect</w:t>
            </w:r>
          </w:p>
        </w:tc>
      </w:tr>
      <w:tr>
        <w:tc>
          <w:tcPr>
            <w:tcW w:type="dxa" w:w="4680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sz w:val="18"/>
              </w:rPr>
              <w:t>Signature: __________________________</w:t>
              <w:br/>
            </w:r>
            <w:r>
              <w:rPr>
                <w:color w:val="64748B"/>
                <w:sz w:val="17"/>
              </w:rPr>
              <w:t>Status: INITIAL DRAFT (STAGE 1)</w:t>
            </w:r>
          </w:p>
        </w:tc>
        <w:tc>
          <w:tcPr>
            <w:tcW w:type="dxa" w:w="4680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sz w:val="18"/>
              </w:rPr>
              <w:t>Signature: __________________________</w:t>
              <w:br/>
            </w:r>
            <w:r>
              <w:rPr>
                <w:color w:val="64748B"/>
                <w:sz w:val="17"/>
              </w:rPr>
              <w:t>Date: 2026-09-29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