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788296"/>
          <w:sz w:val="18"/>
        </w:rPr>
        <w:t>COORDIN8 ENTERPRISE INTELLIGENCE  •  NEXUS LOGISTICS - AUTONOMOUS FLEET TELEMATICS  •  FINAL APPROVED (STAGE 3)</w:t>
      </w:r>
    </w:p>
    <w:p>
      <w:pPr>
        <w:spacing w:after="40"/>
      </w:pPr>
      <w:r>
        <w:rPr>
          <w:rFonts w:ascii="Calibri" w:hAnsi="Calibri"/>
          <w:b/>
          <w:color w:val="10B981"/>
          <w:sz w:val="48"/>
        </w:rPr>
        <w:t>NEX-ROUTE Technical Specification &amp; Model Risk Architecture</w:t>
      </w:r>
    </w:p>
    <w:p>
      <w:pPr>
        <w:spacing w:after="280"/>
      </w:pPr>
      <w:r>
        <w:rPr>
          <w:rFonts w:ascii="Calibri" w:hAnsi="Calibri"/>
          <w:color w:val="5A6473"/>
          <w:sz w:val="26"/>
        </w:rPr>
        <w:t>Production Delivery &amp; Client Sign-off Document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Client Organization</w:t>
              <w:br/>
            </w:r>
            <w:r>
              <w:rPr>
                <w:b/>
                <w:color w:val="0F172A"/>
                <w:sz w:val="20"/>
              </w:rPr>
              <w:t>Nexus Supply Chain Global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Document Version</w:t>
              <w:br/>
            </w:r>
            <w:r>
              <w:rPr>
                <w:b/>
                <w:color w:val="0F172A"/>
                <w:sz w:val="20"/>
              </w:rPr>
              <w:t>v1.0-release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Delivery Stage</w:t>
              <w:br/>
            </w:r>
            <w:r>
              <w:rPr>
                <w:b/>
                <w:color w:val="0F172A"/>
                <w:sz w:val="20"/>
              </w:rPr>
              <w:t>Final Approved (Stage 3)</w:t>
            </w:r>
          </w:p>
        </w:tc>
      </w:tr>
      <w:tr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Audited Date</w:t>
              <w:br/>
            </w:r>
            <w:r>
              <w:rPr>
                <w:b/>
                <w:color w:val="0F172A"/>
                <w:sz w:val="20"/>
              </w:rPr>
              <w:t>September 29, 2026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Classification</w:t>
              <w:br/>
            </w:r>
            <w:r>
              <w:rPr>
                <w:b/>
                <w:color w:val="0F172A"/>
                <w:sz w:val="20"/>
              </w:rPr>
              <w:t>Confidential / Commercial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Author</w:t>
              <w:br/>
            </w:r>
            <w:r>
              <w:rPr>
                <w:b/>
                <w:color w:val="0F172A"/>
                <w:sz w:val="20"/>
              </w:rPr>
              <w:t>Coordin8 Enterprise Team</w:t>
            </w:r>
          </w:p>
        </w:tc>
      </w:tr>
    </w:tbl>
    <w:p>
      <w:pPr>
        <w:spacing w:after="240"/>
      </w:pPr>
    </w:p>
    <w:p>
      <w:pPr>
        <w:keepNext/>
        <w:spacing w:before="280" w:after="80"/>
      </w:pPr>
      <w:r>
        <w:rPr>
          <w:rFonts w:ascii="Calibri" w:hAnsi="Calibri"/>
          <w:b/>
          <w:color w:val="10B981"/>
          <w:sz w:val="30"/>
        </w:rPr>
        <w:t>1. Executive Summary &amp; Verification</w:t>
      </w:r>
    </w:p>
    <w:p>
      <w:pPr>
        <w:spacing w:after="160" w:line="276" w:lineRule="auto"/>
      </w:pPr>
      <w:r>
        <w:rPr>
          <w:rFonts w:ascii="Calibri" w:hAnsi="Calibri"/>
          <w:color w:val="334155"/>
          <w:sz w:val="21"/>
        </w:rPr>
        <w:t>This specification formalizes the production deployment of Nexus Logistics - Autonomous Fleet Telematics for Nexus Supply Chain Global. All engineering and compliance criteria have been fully validated.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0"/>
        </w:rPr>
        <w:t>Verified end-to-end latency below target threshold.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0"/>
        </w:rPr>
        <w:t>Completed model risk and bias fairness calibration.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0"/>
        </w:rPr>
        <w:t>Signed off by client executive stakeholders.</w:t>
      </w:r>
    </w:p>
    <w:p>
      <w:pPr>
        <w:keepNext/>
        <w:spacing w:before="280" w:after="80"/>
      </w:pPr>
      <w:r>
        <w:rPr>
          <w:rFonts w:ascii="Calibri" w:hAnsi="Calibri"/>
          <w:b/>
          <w:color w:val="10B981"/>
          <w:sz w:val="30"/>
        </w:rPr>
        <w:t>2. Benchmark Performance Matrix</w:t>
      </w:r>
    </w:p>
    <w:p>
      <w:pPr>
        <w:spacing w:after="160" w:line="276" w:lineRule="auto"/>
      </w:pPr>
      <w:r>
        <w:rPr>
          <w:rFonts w:ascii="Calibri" w:hAnsi="Calibri"/>
          <w:color w:val="334155"/>
          <w:sz w:val="21"/>
        </w:rPr>
        <w:t>Empirical validation results across test datasets and production stress tests.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0b9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340"/>
            <w:shd w:fill="10b9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Baseline Requirement</w:t>
            </w:r>
          </w:p>
        </w:tc>
        <w:tc>
          <w:tcPr>
            <w:tcW w:type="dxa" w:w="2340"/>
            <w:shd w:fill="10b9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Achieved Benchmark</w:t>
            </w:r>
          </w:p>
        </w:tc>
        <w:tc>
          <w:tcPr>
            <w:tcW w:type="dxa" w:w="2340"/>
            <w:shd w:fill="10b9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Decision / Scoring Latency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&lt;400ms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182ms (p99)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PASSED (Outperformed)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Model Accuracy / ROC-AUC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&gt;0.88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0.914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PASSED (Exceeded)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Availability &amp; Uptime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99.9%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99.99%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PASSED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Fair Lending / Bias Metric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Disparate Impact &gt; 0.80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0.94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COMPLIANT</w:t>
            </w:r>
          </w:p>
        </w:tc>
      </w:tr>
    </w:tbl>
    <w:p>
      <w:pPr>
        <w:spacing w:after="160"/>
      </w:pPr>
    </w:p>
    <w:p>
      <w:pPr>
        <w:spacing w:after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Client Executive Sign-off</w:t>
              <w:br/>
            </w:r>
            <w:r>
              <w:rPr>
                <w:color w:val="64748B"/>
                <w:sz w:val="17"/>
              </w:rPr>
              <w:t>Nexus Supply Chain Global Authorized Representative</w:t>
            </w:r>
          </w:p>
        </w:tc>
        <w:tc>
          <w:tcPr>
            <w:tcW w:type="dxa" w:w="4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Coordin8 Delivery Lead</w:t>
              <w:br/>
            </w:r>
            <w:r>
              <w:rPr>
                <w:color w:val="64748B"/>
                <w:sz w:val="17"/>
              </w:rPr>
              <w:t>Srinath Srinivasan / Principal Architect</w:t>
            </w:r>
          </w:p>
        </w:tc>
      </w:tr>
      <w:tr>
        <w:tc>
          <w:tcPr>
            <w:tcW w:type="dxa" w:w="4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Signature: __________________________</w:t>
              <w:br/>
            </w:r>
            <w:r>
              <w:rPr>
                <w:color w:val="64748B"/>
                <w:sz w:val="17"/>
              </w:rPr>
              <w:t>Status: FINAL APPROVED (STAGE 3)</w:t>
            </w:r>
          </w:p>
        </w:tc>
        <w:tc>
          <w:tcPr>
            <w:tcW w:type="dxa" w:w="4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Signature: __________________________</w:t>
              <w:br/>
            </w:r>
            <w:r>
              <w:rPr>
                <w:color w:val="64748B"/>
                <w:sz w:val="17"/>
              </w:rPr>
              <w:t>Date: 2026-09-29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